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0A" w:rsidRDefault="00091F0A">
      <w:pPr>
        <w:ind w:left="-142" w:firstLine="708"/>
        <w:jc w:val="center"/>
        <w:rPr>
          <w:b/>
          <w:sz w:val="16"/>
          <w:szCs w:val="16"/>
        </w:rPr>
      </w:pPr>
      <w:r>
        <w:rPr>
          <w:b/>
          <w:sz w:val="16"/>
          <w:szCs w:val="16"/>
        </w:rPr>
        <w:t>СОГЛАШЕНИЕ</w:t>
      </w:r>
    </w:p>
    <w:p w:rsidR="00091F0A" w:rsidRDefault="00091F0A">
      <w:pPr>
        <w:ind w:firstLine="708"/>
        <w:jc w:val="center"/>
        <w:rPr>
          <w:b/>
          <w:sz w:val="16"/>
          <w:szCs w:val="16"/>
        </w:rPr>
      </w:pPr>
      <w:r>
        <w:rPr>
          <w:b/>
          <w:sz w:val="16"/>
          <w:szCs w:val="16"/>
        </w:rPr>
        <w:t xml:space="preserve"> ОБ ОКАЗАНИИ УСЛУГ СЕТИ ПЕРЕДАЧИ ДАННЫХ № </w:t>
      </w:r>
      <w:proofErr w:type="spellStart"/>
      <w:r>
        <w:rPr>
          <w:b/>
          <w:sz w:val="16"/>
          <w:szCs w:val="16"/>
        </w:rPr>
        <w:t>номердоговора</w:t>
      </w:r>
      <w:proofErr w:type="spellEnd"/>
    </w:p>
    <w:p w:rsidR="00091F0A" w:rsidRDefault="00C168B5">
      <w:pPr>
        <w:pStyle w:val="12"/>
        <w:tabs>
          <w:tab w:val="clear" w:pos="540"/>
          <w:tab w:val="left" w:pos="360"/>
          <w:tab w:val="left" w:pos="8379"/>
        </w:tabs>
        <w:ind w:left="0" w:right="-55" w:firstLine="0"/>
        <w:rPr>
          <w:rFonts w:cs="Times New Roman"/>
          <w:b w:val="0"/>
          <w:sz w:val="17"/>
          <w:szCs w:val="17"/>
        </w:rPr>
      </w:pPr>
      <w:r>
        <w:rPr>
          <w:rFonts w:ascii="Times New Roman" w:hAnsi="Times New Roman" w:cs="Times New Roman"/>
          <w:sz w:val="17"/>
          <w:szCs w:val="17"/>
        </w:rPr>
        <w:t xml:space="preserve">  </w:t>
      </w:r>
      <w:r w:rsidR="00091F0A">
        <w:rPr>
          <w:rFonts w:ascii="Times New Roman" w:hAnsi="Times New Roman" w:cs="Times New Roman"/>
          <w:sz w:val="17"/>
          <w:szCs w:val="17"/>
        </w:rPr>
        <w:t>г. Кодинск</w:t>
      </w:r>
      <w:proofErr w:type="gramStart"/>
      <w:r w:rsidR="00091F0A">
        <w:rPr>
          <w:rFonts w:ascii="Times New Roman" w:hAnsi="Times New Roman" w:cs="Times New Roman"/>
          <w:sz w:val="17"/>
          <w:szCs w:val="17"/>
        </w:rPr>
        <w:tab/>
      </w:r>
      <w:r>
        <w:rPr>
          <w:rFonts w:ascii="Times New Roman" w:hAnsi="Times New Roman" w:cs="Times New Roman"/>
          <w:sz w:val="17"/>
          <w:szCs w:val="17"/>
        </w:rPr>
        <w:t xml:space="preserve">«  </w:t>
      </w:r>
      <w:proofErr w:type="gramEnd"/>
      <w:r>
        <w:rPr>
          <w:rFonts w:ascii="Times New Roman" w:hAnsi="Times New Roman" w:cs="Times New Roman"/>
          <w:sz w:val="17"/>
          <w:szCs w:val="17"/>
        </w:rPr>
        <w:t xml:space="preserve">  » __________</w:t>
      </w:r>
    </w:p>
    <w:p w:rsidR="0009173C" w:rsidRPr="007D548F" w:rsidRDefault="00C168B5">
      <w:pPr>
        <w:pStyle w:val="12"/>
        <w:tabs>
          <w:tab w:val="clear" w:pos="540"/>
          <w:tab w:val="left" w:pos="360"/>
          <w:tab w:val="left" w:pos="8379"/>
        </w:tabs>
        <w:ind w:left="0" w:right="-55" w:firstLine="0"/>
        <w:rPr>
          <w:sz w:val="2"/>
          <w:szCs w:val="17"/>
        </w:rPr>
      </w:pPr>
      <w:r>
        <w:rPr>
          <w:sz w:val="2"/>
          <w:szCs w:val="17"/>
        </w:rPr>
        <w:t xml:space="preserve"> </w:t>
      </w:r>
    </w:p>
    <w:p w:rsidR="00091F0A" w:rsidRPr="00436BAE" w:rsidRDefault="00091F0A" w:rsidP="007D548F">
      <w:pPr>
        <w:ind w:firstLine="708"/>
        <w:jc w:val="both"/>
        <w:rPr>
          <w:bCs/>
          <w:sz w:val="6"/>
          <w:szCs w:val="6"/>
        </w:rPr>
      </w:pPr>
      <w:r>
        <w:rPr>
          <w:sz w:val="17"/>
          <w:szCs w:val="17"/>
        </w:rPr>
        <w:t xml:space="preserve">Общество с ограниченной ответственностью «КТИ», зарегистрированное Межрайонной инспекцией Федеральной налоговой службы № 18 по Красноярскому краю в Едином государственном реестре юридических лиц за №1072420000069 от 27.01.2007г., действующее на основании Устава, законодательства РФ, лицензий № </w:t>
      </w:r>
      <w:r w:rsidR="00B538BF">
        <w:rPr>
          <w:sz w:val="17"/>
          <w:szCs w:val="17"/>
        </w:rPr>
        <w:t>147002</w:t>
      </w:r>
      <w:r>
        <w:rPr>
          <w:sz w:val="17"/>
          <w:szCs w:val="17"/>
        </w:rPr>
        <w:t xml:space="preserve">, </w:t>
      </w:r>
      <w:r w:rsidR="00B538BF">
        <w:rPr>
          <w:sz w:val="17"/>
          <w:szCs w:val="17"/>
        </w:rPr>
        <w:t>147004</w:t>
      </w:r>
      <w:r>
        <w:rPr>
          <w:sz w:val="17"/>
          <w:szCs w:val="17"/>
        </w:rPr>
        <w:t xml:space="preserve">, выданных Министерством связи Российской Федерации, именуемое в дальнейшем </w:t>
      </w:r>
      <w:r w:rsidRPr="00B538BF">
        <w:rPr>
          <w:sz w:val="17"/>
          <w:szCs w:val="17"/>
        </w:rPr>
        <w:t>«ОПЕРАТОР», в</w:t>
      </w:r>
      <w:r w:rsidR="00B538BF" w:rsidRPr="00B538BF">
        <w:rPr>
          <w:sz w:val="17"/>
          <w:szCs w:val="17"/>
        </w:rPr>
        <w:t xml:space="preserve"> лице</w:t>
      </w:r>
      <w:r w:rsidR="0086321C" w:rsidRPr="0086321C">
        <w:rPr>
          <w:sz w:val="17"/>
          <w:szCs w:val="17"/>
        </w:rPr>
        <w:t>_____________________________________</w:t>
      </w:r>
      <w:r w:rsidR="00B538BF" w:rsidRPr="00B538BF">
        <w:rPr>
          <w:sz w:val="17"/>
          <w:szCs w:val="17"/>
        </w:rPr>
        <w:t xml:space="preserve">, действующего </w:t>
      </w:r>
      <w:r w:rsidR="0086321C" w:rsidRPr="0086321C">
        <w:rPr>
          <w:sz w:val="17"/>
          <w:szCs w:val="17"/>
        </w:rPr>
        <w:t>________________________</w:t>
      </w:r>
      <w:r w:rsidR="0086321C" w:rsidRPr="00B57913">
        <w:rPr>
          <w:sz w:val="17"/>
          <w:szCs w:val="17"/>
        </w:rPr>
        <w:t>_</w:t>
      </w:r>
      <w:r w:rsidRPr="00B538BF">
        <w:rPr>
          <w:sz w:val="17"/>
          <w:szCs w:val="17"/>
        </w:rPr>
        <w:t xml:space="preserve">, с одной стороны, гражданин(ка) </w:t>
      </w:r>
      <w:proofErr w:type="spellStart"/>
      <w:r w:rsidRPr="00B538BF">
        <w:rPr>
          <w:b/>
          <w:sz w:val="17"/>
          <w:szCs w:val="17"/>
        </w:rPr>
        <w:t>импадежфиоабонента</w:t>
      </w:r>
      <w:proofErr w:type="spellEnd"/>
      <w:r w:rsidRPr="00B538BF">
        <w:rPr>
          <w:sz w:val="17"/>
          <w:szCs w:val="17"/>
        </w:rPr>
        <w:t xml:space="preserve">, </w:t>
      </w:r>
      <w:proofErr w:type="spellStart"/>
      <w:r w:rsidRPr="00B538BF">
        <w:rPr>
          <w:sz w:val="17"/>
          <w:szCs w:val="17"/>
        </w:rPr>
        <w:t>паспортабонента</w:t>
      </w:r>
      <w:proofErr w:type="spellEnd"/>
      <w:r w:rsidRPr="00B538BF">
        <w:rPr>
          <w:sz w:val="17"/>
          <w:szCs w:val="17"/>
        </w:rPr>
        <w:t xml:space="preserve"> (дата и место рождения: </w:t>
      </w:r>
      <w:proofErr w:type="spellStart"/>
      <w:r w:rsidRPr="00B538BF">
        <w:rPr>
          <w:sz w:val="17"/>
          <w:szCs w:val="17"/>
        </w:rPr>
        <w:t>датарожденияабонента</w:t>
      </w:r>
      <w:proofErr w:type="spellEnd"/>
      <w:r w:rsidRPr="00B538BF">
        <w:rPr>
          <w:sz w:val="17"/>
          <w:szCs w:val="17"/>
        </w:rPr>
        <w:t xml:space="preserve"> г., </w:t>
      </w:r>
      <w:proofErr w:type="spellStart"/>
      <w:r w:rsidRPr="00B538BF">
        <w:rPr>
          <w:sz w:val="17"/>
          <w:szCs w:val="17"/>
        </w:rPr>
        <w:t>месторожденияабонента</w:t>
      </w:r>
      <w:proofErr w:type="spellEnd"/>
      <w:r w:rsidRPr="00B538BF">
        <w:rPr>
          <w:sz w:val="17"/>
          <w:szCs w:val="17"/>
        </w:rPr>
        <w:t>), именуемый (</w:t>
      </w:r>
      <w:proofErr w:type="spellStart"/>
      <w:r w:rsidRPr="00B538BF">
        <w:rPr>
          <w:sz w:val="17"/>
          <w:szCs w:val="17"/>
        </w:rPr>
        <w:t>ая</w:t>
      </w:r>
      <w:proofErr w:type="spellEnd"/>
      <w:r w:rsidRPr="00B538BF">
        <w:rPr>
          <w:sz w:val="17"/>
          <w:szCs w:val="17"/>
        </w:rPr>
        <w:t>) в дальнейшем «АБОНЕНТ», с другой стороны, именуемые совместно «</w:t>
      </w:r>
      <w:r w:rsidRPr="00B538BF">
        <w:rPr>
          <w:bCs/>
          <w:sz w:val="17"/>
          <w:szCs w:val="17"/>
        </w:rPr>
        <w:t>Стороны</w:t>
      </w:r>
      <w:r w:rsidRPr="00B538BF">
        <w:rPr>
          <w:sz w:val="17"/>
          <w:szCs w:val="17"/>
        </w:rPr>
        <w:t xml:space="preserve">», </w:t>
      </w:r>
      <w:r w:rsidRPr="00B538BF">
        <w:rPr>
          <w:bCs/>
          <w:sz w:val="17"/>
          <w:szCs w:val="17"/>
        </w:rPr>
        <w:t>заключили настоящее соглашение о нижеследующем:</w:t>
      </w:r>
    </w:p>
    <w:p w:rsidR="00091F0A" w:rsidRDefault="00091F0A">
      <w:pPr>
        <w:pStyle w:val="13"/>
        <w:tabs>
          <w:tab w:val="left" w:pos="0"/>
          <w:tab w:val="left" w:pos="567"/>
        </w:tabs>
        <w:jc w:val="both"/>
        <w:rPr>
          <w:rFonts w:ascii="Times New Roman" w:hAnsi="Times New Roman"/>
          <w:b w:val="0"/>
          <w:bCs/>
          <w:sz w:val="17"/>
          <w:szCs w:val="17"/>
        </w:rPr>
      </w:pPr>
      <w:r>
        <w:rPr>
          <w:rFonts w:ascii="Times New Roman" w:hAnsi="Times New Roman"/>
          <w:bCs/>
          <w:sz w:val="17"/>
          <w:szCs w:val="17"/>
        </w:rPr>
        <w:t>1.</w:t>
      </w:r>
      <w:r>
        <w:rPr>
          <w:rFonts w:ascii="Times New Roman" w:hAnsi="Times New Roman"/>
          <w:b w:val="0"/>
          <w:bCs/>
          <w:sz w:val="17"/>
          <w:szCs w:val="17"/>
        </w:rPr>
        <w:t xml:space="preserve"> Предметом настоящего Соглашения является возмездное оказание Оператором Абоненту следующих услуг сети передачи данных (далее – СПД):</w:t>
      </w:r>
    </w:p>
    <w:p w:rsidR="00091F0A" w:rsidRDefault="00091F0A">
      <w:pPr>
        <w:pStyle w:val="13"/>
        <w:numPr>
          <w:ilvl w:val="0"/>
          <w:numId w:val="2"/>
        </w:numPr>
        <w:tabs>
          <w:tab w:val="left" w:pos="284"/>
          <w:tab w:val="left" w:pos="851"/>
          <w:tab w:val="left" w:pos="1134"/>
        </w:tabs>
        <w:ind w:left="284" w:hanging="284"/>
        <w:jc w:val="both"/>
        <w:rPr>
          <w:rFonts w:ascii="Times New Roman" w:hAnsi="Times New Roman"/>
          <w:b w:val="0"/>
          <w:bCs/>
          <w:sz w:val="17"/>
          <w:szCs w:val="17"/>
        </w:rPr>
      </w:pPr>
      <w:r>
        <w:rPr>
          <w:rFonts w:ascii="Times New Roman" w:hAnsi="Times New Roman"/>
          <w:b w:val="0"/>
          <w:bCs/>
          <w:sz w:val="17"/>
          <w:szCs w:val="17"/>
        </w:rPr>
        <w:t xml:space="preserve">организация подключения к СПД, согласно Бланку-заказу (включает в себя </w:t>
      </w:r>
      <w:r>
        <w:rPr>
          <w:rFonts w:ascii="Times New Roman" w:hAnsi="Times New Roman"/>
          <w:b w:val="0"/>
          <w:sz w:val="17"/>
          <w:szCs w:val="17"/>
        </w:rPr>
        <w:t xml:space="preserve">проведение работ на оборудовании Оператора, не подразумевает настройку программного обеспечения в помещении, в стоимость подключения не входит комплект оборудования для </w:t>
      </w:r>
      <w:r>
        <w:rPr>
          <w:rFonts w:ascii="Times New Roman" w:hAnsi="Times New Roman"/>
          <w:b w:val="0"/>
          <w:sz w:val="17"/>
          <w:szCs w:val="17"/>
          <w:lang w:val="en-US"/>
        </w:rPr>
        <w:t>ADSL</w:t>
      </w:r>
      <w:r>
        <w:rPr>
          <w:rFonts w:ascii="Times New Roman" w:hAnsi="Times New Roman"/>
          <w:b w:val="0"/>
          <w:sz w:val="17"/>
          <w:szCs w:val="17"/>
        </w:rPr>
        <w:t xml:space="preserve"> (модем)</w:t>
      </w:r>
      <w:r>
        <w:rPr>
          <w:rFonts w:ascii="Times New Roman" w:hAnsi="Times New Roman"/>
          <w:b w:val="0"/>
          <w:bCs/>
          <w:sz w:val="17"/>
          <w:szCs w:val="17"/>
        </w:rPr>
        <w:t>);</w:t>
      </w:r>
    </w:p>
    <w:p w:rsidR="00091F0A" w:rsidRDefault="00091F0A">
      <w:pPr>
        <w:pStyle w:val="13"/>
        <w:numPr>
          <w:ilvl w:val="0"/>
          <w:numId w:val="2"/>
        </w:numPr>
        <w:tabs>
          <w:tab w:val="left" w:pos="284"/>
          <w:tab w:val="left" w:pos="851"/>
          <w:tab w:val="left" w:pos="1134"/>
        </w:tabs>
        <w:ind w:left="284" w:hanging="284"/>
        <w:jc w:val="both"/>
        <w:rPr>
          <w:rFonts w:ascii="Times New Roman" w:hAnsi="Times New Roman"/>
          <w:b w:val="0"/>
          <w:sz w:val="17"/>
          <w:szCs w:val="17"/>
        </w:rPr>
      </w:pPr>
      <w:r>
        <w:rPr>
          <w:rFonts w:ascii="Times New Roman" w:hAnsi="Times New Roman"/>
          <w:b w:val="0"/>
          <w:sz w:val="17"/>
          <w:szCs w:val="17"/>
        </w:rPr>
        <w:t>предоставление возможности круглосуточного пользования ресурсами СПД, доступными при технологии подключения Абонента;</w:t>
      </w:r>
    </w:p>
    <w:p w:rsidR="00091F0A" w:rsidRDefault="00091F0A">
      <w:pPr>
        <w:pStyle w:val="13"/>
        <w:numPr>
          <w:ilvl w:val="0"/>
          <w:numId w:val="2"/>
        </w:numPr>
        <w:tabs>
          <w:tab w:val="left" w:pos="284"/>
          <w:tab w:val="left" w:pos="851"/>
          <w:tab w:val="left" w:pos="1134"/>
        </w:tabs>
        <w:ind w:left="284" w:hanging="284"/>
        <w:jc w:val="both"/>
        <w:rPr>
          <w:rFonts w:ascii="Times New Roman" w:hAnsi="Times New Roman"/>
          <w:b w:val="0"/>
          <w:sz w:val="17"/>
          <w:szCs w:val="17"/>
        </w:rPr>
      </w:pPr>
      <w:r>
        <w:rPr>
          <w:rFonts w:ascii="Times New Roman" w:hAnsi="Times New Roman"/>
          <w:b w:val="0"/>
          <w:sz w:val="17"/>
          <w:szCs w:val="17"/>
        </w:rPr>
        <w:t>предоставление дополнительных услуг в соответствии с действующим Прейскурантом цен Оператора.</w:t>
      </w:r>
    </w:p>
    <w:p w:rsidR="00091F0A" w:rsidRDefault="00091F0A">
      <w:pPr>
        <w:shd w:val="clear" w:color="auto" w:fill="FFFFFF"/>
        <w:jc w:val="both"/>
        <w:rPr>
          <w:sz w:val="17"/>
          <w:szCs w:val="17"/>
        </w:rPr>
      </w:pPr>
      <w:r>
        <w:rPr>
          <w:b/>
          <w:color w:val="000000"/>
          <w:sz w:val="17"/>
          <w:szCs w:val="17"/>
        </w:rPr>
        <w:t>2.</w:t>
      </w:r>
      <w:r>
        <w:rPr>
          <w:color w:val="000000"/>
          <w:sz w:val="17"/>
          <w:szCs w:val="17"/>
        </w:rPr>
        <w:t xml:space="preserve"> Соглашение вступает в силу с </w:t>
      </w:r>
      <w:proofErr w:type="spellStart"/>
      <w:r>
        <w:rPr>
          <w:sz w:val="17"/>
          <w:szCs w:val="17"/>
        </w:rPr>
        <w:t>датадоговора</w:t>
      </w:r>
      <w:proofErr w:type="spellEnd"/>
      <w:r>
        <w:rPr>
          <w:color w:val="000000"/>
          <w:sz w:val="17"/>
          <w:szCs w:val="17"/>
        </w:rPr>
        <w:t xml:space="preserve">, и </w:t>
      </w:r>
      <w:r>
        <w:rPr>
          <w:sz w:val="17"/>
          <w:szCs w:val="17"/>
        </w:rPr>
        <w:t xml:space="preserve">действует </w:t>
      </w:r>
      <w:proofErr w:type="spellStart"/>
      <w:r>
        <w:rPr>
          <w:sz w:val="17"/>
          <w:szCs w:val="17"/>
        </w:rPr>
        <w:t>срокдействия</w:t>
      </w:r>
      <w:proofErr w:type="spellEnd"/>
    </w:p>
    <w:p w:rsidR="00091F0A" w:rsidRDefault="00091F0A">
      <w:pPr>
        <w:pStyle w:val="ad"/>
        <w:spacing w:before="0" w:after="0"/>
        <w:jc w:val="both"/>
        <w:rPr>
          <w:color w:val="000000"/>
          <w:sz w:val="17"/>
          <w:szCs w:val="17"/>
        </w:rPr>
      </w:pPr>
      <w:r>
        <w:rPr>
          <w:b/>
          <w:color w:val="000000"/>
          <w:sz w:val="17"/>
          <w:szCs w:val="17"/>
        </w:rPr>
        <w:t xml:space="preserve">3. </w:t>
      </w:r>
      <w:r>
        <w:rPr>
          <w:color w:val="000000"/>
          <w:sz w:val="17"/>
          <w:szCs w:val="17"/>
        </w:rPr>
        <w:t>Оказание Абоненту услуг, указанных в п.1 настоящего Соглашения, осуществляется посредством авансового платежа.</w:t>
      </w:r>
    </w:p>
    <w:p w:rsidR="00091F0A" w:rsidRDefault="00091F0A">
      <w:pPr>
        <w:pStyle w:val="ad"/>
        <w:spacing w:before="0" w:after="0"/>
        <w:jc w:val="both"/>
        <w:rPr>
          <w:color w:val="000000"/>
          <w:sz w:val="17"/>
          <w:szCs w:val="17"/>
        </w:rPr>
      </w:pPr>
      <w:r>
        <w:rPr>
          <w:b/>
          <w:color w:val="000000"/>
          <w:sz w:val="17"/>
          <w:szCs w:val="17"/>
        </w:rPr>
        <w:t>4.</w:t>
      </w:r>
      <w:r>
        <w:rPr>
          <w:color w:val="000000"/>
          <w:sz w:val="17"/>
          <w:szCs w:val="17"/>
        </w:rPr>
        <w:t xml:space="preserve"> При регистрации Оператор открывает Абоненту лицевой счет и взимает разовую плату (если таковая предусмотрена тарифами) за подключение, которая при расторжении Соглашения не возвращается.</w:t>
      </w:r>
    </w:p>
    <w:p w:rsidR="00091F0A" w:rsidRDefault="00091F0A">
      <w:pPr>
        <w:tabs>
          <w:tab w:val="left" w:pos="360"/>
        </w:tabs>
        <w:jc w:val="both"/>
        <w:rPr>
          <w:color w:val="000000"/>
          <w:sz w:val="17"/>
          <w:szCs w:val="17"/>
        </w:rPr>
      </w:pPr>
      <w:r>
        <w:rPr>
          <w:b/>
          <w:color w:val="000000"/>
          <w:sz w:val="17"/>
          <w:szCs w:val="17"/>
        </w:rPr>
        <w:t>5.</w:t>
      </w:r>
      <w:r>
        <w:rPr>
          <w:sz w:val="17"/>
          <w:szCs w:val="17"/>
        </w:rPr>
        <w:t xml:space="preserve"> Адреса и способ доставки счета Оператором– отображение информации на персональной странице Абонента </w:t>
      </w:r>
      <w:r>
        <w:rPr>
          <w:color w:val="000000"/>
          <w:sz w:val="17"/>
          <w:szCs w:val="17"/>
        </w:rPr>
        <w:t>(</w:t>
      </w:r>
      <w:hyperlink w:history="1">
        <w:r w:rsidR="00B57913" w:rsidRPr="00B57913">
          <w:rPr>
            <w:rStyle w:val="a3"/>
            <w:sz w:val="17"/>
            <w:szCs w:val="17"/>
            <w:lang w:val="en-US"/>
          </w:rPr>
          <w:t>http</w:t>
        </w:r>
        <w:r w:rsidR="00B57913" w:rsidRPr="00FB0737">
          <w:rPr>
            <w:rStyle w:val="a3"/>
            <w:sz w:val="17"/>
            <w:szCs w:val="17"/>
          </w:rPr>
          <w:t>://</w:t>
        </w:r>
        <w:proofErr w:type="spellStart"/>
        <w:r w:rsidR="00B57913" w:rsidRPr="00B57913">
          <w:rPr>
            <w:rStyle w:val="a3"/>
            <w:sz w:val="17"/>
            <w:szCs w:val="17"/>
            <w:lang w:val="en-US"/>
          </w:rPr>
          <w:t>kodinsk</w:t>
        </w:r>
        <w:proofErr w:type="spellEnd"/>
        <w:r w:rsidR="00B57913" w:rsidRPr="00FB0737">
          <w:rPr>
            <w:rStyle w:val="a3"/>
            <w:sz w:val="17"/>
            <w:szCs w:val="17"/>
          </w:rPr>
          <w:t>.</w:t>
        </w:r>
        <w:r w:rsidR="00B57913" w:rsidRPr="00B57913">
          <w:rPr>
            <w:rStyle w:val="a3"/>
            <w:sz w:val="17"/>
            <w:szCs w:val="17"/>
            <w:lang w:val="en-US"/>
          </w:rPr>
          <w:t>net</w:t>
        </w:r>
        <w:r>
          <w:rPr>
            <w:rStyle w:val="a3"/>
            <w:sz w:val="17"/>
            <w:szCs w:val="17"/>
          </w:rPr>
          <w:t>)</w:t>
        </w:r>
      </w:hyperlink>
      <w:r>
        <w:rPr>
          <w:color w:val="000000"/>
          <w:sz w:val="17"/>
          <w:szCs w:val="17"/>
        </w:rPr>
        <w:t xml:space="preserve">. </w:t>
      </w:r>
      <w:r>
        <w:rPr>
          <w:sz w:val="17"/>
          <w:szCs w:val="17"/>
        </w:rPr>
        <w:t>Основанием для выставления счета Абоненту за предоставленные соединения по СПД являются данные, полученные с помощью оборудования, используемого Оператором для учета объема оказанных услуг связи по передаче данных.</w:t>
      </w:r>
      <w:r>
        <w:rPr>
          <w:color w:val="000000"/>
          <w:sz w:val="17"/>
          <w:szCs w:val="17"/>
        </w:rPr>
        <w:t xml:space="preserve"> Объем потребляемых Абонентом услуг фиксируется на его лицевом счете. Показатели лицевого счета являются основанием для проведения расчетов между Оператором и Абонентом.</w:t>
      </w:r>
    </w:p>
    <w:p w:rsidR="00091F0A" w:rsidRDefault="00091F0A">
      <w:pPr>
        <w:jc w:val="both"/>
        <w:rPr>
          <w:sz w:val="17"/>
          <w:szCs w:val="17"/>
        </w:rPr>
      </w:pPr>
      <w:r>
        <w:rPr>
          <w:b/>
          <w:sz w:val="17"/>
          <w:szCs w:val="17"/>
        </w:rPr>
        <w:t>6.</w:t>
      </w:r>
      <w:r>
        <w:rPr>
          <w:sz w:val="17"/>
          <w:szCs w:val="17"/>
        </w:rPr>
        <w:t xml:space="preserve"> Данные личного кабинета пользователя о состоянии лицевого счета (в том числе уведомление о задолженности), являются основанием для учета баланса и носят уведомительный характер для Абонента. При наличии отрицательного баланса на счету Абонента, доступ в сеть Интернет блокируются.</w:t>
      </w:r>
    </w:p>
    <w:p w:rsidR="00091F0A" w:rsidRDefault="00091F0A">
      <w:pPr>
        <w:jc w:val="both"/>
        <w:rPr>
          <w:sz w:val="17"/>
          <w:szCs w:val="17"/>
        </w:rPr>
      </w:pPr>
      <w:r>
        <w:rPr>
          <w:b/>
          <w:sz w:val="17"/>
          <w:szCs w:val="17"/>
        </w:rPr>
        <w:t>7.</w:t>
      </w:r>
      <w:r>
        <w:rPr>
          <w:sz w:val="17"/>
          <w:szCs w:val="17"/>
        </w:rPr>
        <w:t xml:space="preserve"> При задолженности </w:t>
      </w:r>
      <w:r>
        <w:rPr>
          <w:b/>
          <w:i/>
          <w:sz w:val="17"/>
          <w:szCs w:val="17"/>
          <w:u w:val="single"/>
        </w:rPr>
        <w:t>свыше шести месяцев</w:t>
      </w:r>
      <w:r>
        <w:rPr>
          <w:sz w:val="17"/>
          <w:szCs w:val="17"/>
        </w:rPr>
        <w:t xml:space="preserve"> происходит физическое отключение от сети, с последующим расторжением Соглашения в одностороннем порядке. Повторное подключение возможно после погашения образовавшейся задолженности, оплаты неустойки и оплаты работ по </w:t>
      </w:r>
      <w:proofErr w:type="spellStart"/>
      <w:r>
        <w:rPr>
          <w:sz w:val="17"/>
          <w:szCs w:val="17"/>
        </w:rPr>
        <w:t>переподключению</w:t>
      </w:r>
      <w:proofErr w:type="spellEnd"/>
      <w:r>
        <w:rPr>
          <w:sz w:val="17"/>
          <w:szCs w:val="17"/>
        </w:rPr>
        <w:t>.</w:t>
      </w:r>
    </w:p>
    <w:p w:rsidR="00091F0A" w:rsidRDefault="00091F0A">
      <w:pPr>
        <w:jc w:val="both"/>
        <w:rPr>
          <w:sz w:val="17"/>
          <w:szCs w:val="17"/>
        </w:rPr>
      </w:pPr>
      <w:r>
        <w:rPr>
          <w:sz w:val="17"/>
          <w:szCs w:val="17"/>
        </w:rPr>
        <w:t>На основании письменного заявления Абонента, за отдельную плату, Оператор вводит ограничения на оказание услуг СПД на срок не более шести месяцев, с внесением Абонентом единовременной оплаты, оплаты абонентской платы за весь период времени приостановления оказания услуг, согласно действующему Прейскуранту цен Оператора. При отсутствии заявления на снятие ограничения Соглашение с абонентом расторгается.</w:t>
      </w:r>
    </w:p>
    <w:p w:rsidR="00091F0A" w:rsidRDefault="00091F0A">
      <w:pPr>
        <w:tabs>
          <w:tab w:val="left" w:pos="360"/>
        </w:tabs>
        <w:ind w:left="360" w:right="-55"/>
        <w:jc w:val="center"/>
        <w:rPr>
          <w:b/>
          <w:sz w:val="14"/>
          <w:szCs w:val="14"/>
        </w:rPr>
      </w:pPr>
      <w:r>
        <w:rPr>
          <w:b/>
          <w:sz w:val="14"/>
          <w:szCs w:val="14"/>
        </w:rPr>
        <w:t>БЛАНК-ЗАКАЗ</w:t>
      </w:r>
    </w:p>
    <w:tbl>
      <w:tblPr>
        <w:tblW w:w="0" w:type="auto"/>
        <w:tblInd w:w="-132" w:type="dxa"/>
        <w:tblLayout w:type="fixed"/>
        <w:tblCellMar>
          <w:left w:w="0" w:type="dxa"/>
          <w:right w:w="0" w:type="dxa"/>
        </w:tblCellMar>
        <w:tblLook w:val="0000" w:firstRow="0" w:lastRow="0" w:firstColumn="0" w:lastColumn="0" w:noHBand="0" w:noVBand="0"/>
      </w:tblPr>
      <w:tblGrid>
        <w:gridCol w:w="1588"/>
        <w:gridCol w:w="900"/>
        <w:gridCol w:w="2450"/>
        <w:gridCol w:w="2590"/>
        <w:gridCol w:w="2700"/>
        <w:gridCol w:w="78"/>
        <w:gridCol w:w="751"/>
      </w:tblGrid>
      <w:tr w:rsidR="00091F0A" w:rsidTr="00436BAE">
        <w:trPr>
          <w:cantSplit/>
          <w:trHeight w:val="325"/>
        </w:trPr>
        <w:tc>
          <w:tcPr>
            <w:tcW w:w="4938" w:type="dxa"/>
            <w:gridSpan w:val="3"/>
            <w:tcBorders>
              <w:top w:val="single" w:sz="8" w:space="0" w:color="000000"/>
              <w:left w:val="single" w:sz="8" w:space="0" w:color="000000"/>
              <w:bottom w:val="single" w:sz="4" w:space="0" w:color="000000"/>
            </w:tcBorders>
          </w:tcPr>
          <w:p w:rsidR="00091F0A" w:rsidRDefault="00091F0A">
            <w:pPr>
              <w:rPr>
                <w:sz w:val="16"/>
                <w:szCs w:val="16"/>
              </w:rPr>
            </w:pPr>
            <w:r>
              <w:rPr>
                <w:sz w:val="16"/>
                <w:szCs w:val="16"/>
              </w:rPr>
              <w:t>КЛИЕНТУ присваивается уникальный идентификатор:</w:t>
            </w:r>
          </w:p>
        </w:tc>
        <w:tc>
          <w:tcPr>
            <w:tcW w:w="6119" w:type="dxa"/>
            <w:gridSpan w:val="4"/>
            <w:tcBorders>
              <w:top w:val="single" w:sz="8" w:space="0" w:color="000000"/>
              <w:left w:val="single" w:sz="4" w:space="0" w:color="000000"/>
              <w:bottom w:val="single" w:sz="4" w:space="0" w:color="000000"/>
            </w:tcBorders>
          </w:tcPr>
          <w:p w:rsidR="00091F0A" w:rsidRDefault="00091F0A" w:rsidP="00436BAE">
            <w:pPr>
              <w:pStyle w:val="6"/>
              <w:snapToGrid w:val="0"/>
              <w:spacing w:after="0"/>
              <w:jc w:val="center"/>
              <w:rPr>
                <w:sz w:val="16"/>
                <w:szCs w:val="16"/>
              </w:rPr>
            </w:pPr>
            <w:proofErr w:type="spellStart"/>
            <w:r>
              <w:rPr>
                <w:sz w:val="16"/>
                <w:szCs w:val="16"/>
              </w:rPr>
              <w:t>номертелефона</w:t>
            </w:r>
            <w:proofErr w:type="spellEnd"/>
          </w:p>
        </w:tc>
      </w:tr>
      <w:tr w:rsidR="00091F0A" w:rsidTr="00436BAE">
        <w:tblPrEx>
          <w:tblCellMar>
            <w:left w:w="56" w:type="dxa"/>
            <w:right w:w="56" w:type="dxa"/>
          </w:tblCellMar>
        </w:tblPrEx>
        <w:trPr>
          <w:cantSplit/>
          <w:trHeight w:val="227"/>
        </w:trPr>
        <w:tc>
          <w:tcPr>
            <w:tcW w:w="2488" w:type="dxa"/>
            <w:gridSpan w:val="2"/>
            <w:tcBorders>
              <w:top w:val="single" w:sz="4" w:space="0" w:color="000000"/>
              <w:left w:val="single" w:sz="4" w:space="0" w:color="000000"/>
            </w:tcBorders>
            <w:vAlign w:val="center"/>
          </w:tcPr>
          <w:p w:rsidR="00091F0A" w:rsidRDefault="00091F0A">
            <w:pPr>
              <w:snapToGrid w:val="0"/>
              <w:rPr>
                <w:sz w:val="16"/>
                <w:szCs w:val="16"/>
              </w:rPr>
            </w:pPr>
            <w:r>
              <w:rPr>
                <w:b/>
                <w:i/>
                <w:sz w:val="10"/>
                <w:szCs w:val="10"/>
              </w:rPr>
              <w:t xml:space="preserve"> </w:t>
            </w:r>
            <w:r>
              <w:rPr>
                <w:sz w:val="16"/>
                <w:szCs w:val="16"/>
              </w:rPr>
              <w:t>Фамилия Имя Отчество:</w:t>
            </w:r>
          </w:p>
        </w:tc>
        <w:tc>
          <w:tcPr>
            <w:tcW w:w="8569" w:type="dxa"/>
            <w:gridSpan w:val="5"/>
            <w:tcBorders>
              <w:top w:val="single" w:sz="4" w:space="0" w:color="000000"/>
              <w:left w:val="single" w:sz="4" w:space="0" w:color="000000"/>
              <w:right w:val="single" w:sz="4" w:space="0" w:color="000000"/>
            </w:tcBorders>
            <w:vAlign w:val="center"/>
          </w:tcPr>
          <w:p w:rsidR="00091F0A" w:rsidRDefault="00091F0A">
            <w:pPr>
              <w:pStyle w:val="6"/>
              <w:snapToGrid w:val="0"/>
              <w:spacing w:before="0" w:after="0"/>
              <w:rPr>
                <w:sz w:val="16"/>
                <w:szCs w:val="16"/>
              </w:rPr>
            </w:pPr>
            <w:proofErr w:type="spellStart"/>
            <w:r>
              <w:rPr>
                <w:sz w:val="16"/>
                <w:szCs w:val="16"/>
              </w:rPr>
              <w:t>импадежфиоабонента</w:t>
            </w:r>
            <w:proofErr w:type="spellEnd"/>
          </w:p>
        </w:tc>
      </w:tr>
      <w:tr w:rsidR="00091F0A" w:rsidTr="00436BAE">
        <w:tblPrEx>
          <w:tblCellMar>
            <w:left w:w="56" w:type="dxa"/>
            <w:right w:w="56" w:type="dxa"/>
          </w:tblCellMar>
        </w:tblPrEx>
        <w:trPr>
          <w:cantSplit/>
          <w:trHeight w:val="227"/>
        </w:trPr>
        <w:tc>
          <w:tcPr>
            <w:tcW w:w="2488" w:type="dxa"/>
            <w:gridSpan w:val="2"/>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sz w:val="16"/>
                <w:szCs w:val="16"/>
              </w:rPr>
            </w:pPr>
            <w:r>
              <w:rPr>
                <w:rFonts w:ascii="Times New Roman" w:hAnsi="Times New Roman"/>
                <w:sz w:val="16"/>
                <w:szCs w:val="16"/>
              </w:rPr>
              <w:t>Адрес установки оборудования:</w:t>
            </w:r>
          </w:p>
        </w:tc>
        <w:tc>
          <w:tcPr>
            <w:tcW w:w="8569" w:type="dxa"/>
            <w:gridSpan w:val="5"/>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snapToGrid w:val="0"/>
              <w:spacing w:before="0" w:after="0"/>
              <w:rPr>
                <w:sz w:val="16"/>
                <w:szCs w:val="16"/>
              </w:rPr>
            </w:pPr>
            <w:proofErr w:type="spellStart"/>
            <w:r>
              <w:rPr>
                <w:sz w:val="16"/>
                <w:szCs w:val="16"/>
              </w:rPr>
              <w:t>адресабонента</w:t>
            </w:r>
            <w:proofErr w:type="spellEnd"/>
          </w:p>
        </w:tc>
      </w:tr>
      <w:tr w:rsidR="00091F0A" w:rsidTr="00436BAE">
        <w:tblPrEx>
          <w:tblCellMar>
            <w:left w:w="56" w:type="dxa"/>
            <w:right w:w="56" w:type="dxa"/>
          </w:tblCellMar>
        </w:tblPrEx>
        <w:trPr>
          <w:cantSplit/>
          <w:trHeight w:val="227"/>
        </w:trPr>
        <w:tc>
          <w:tcPr>
            <w:tcW w:w="2488" w:type="dxa"/>
            <w:gridSpan w:val="2"/>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sz w:val="16"/>
                <w:szCs w:val="16"/>
              </w:rPr>
            </w:pPr>
            <w:r>
              <w:rPr>
                <w:rFonts w:ascii="Times New Roman" w:hAnsi="Times New Roman"/>
                <w:sz w:val="16"/>
                <w:szCs w:val="16"/>
              </w:rPr>
              <w:t>Телефон:</w:t>
            </w:r>
          </w:p>
        </w:tc>
        <w:tc>
          <w:tcPr>
            <w:tcW w:w="8569" w:type="dxa"/>
            <w:gridSpan w:val="5"/>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snapToGrid w:val="0"/>
              <w:spacing w:before="0" w:after="0"/>
              <w:rPr>
                <w:sz w:val="16"/>
                <w:szCs w:val="16"/>
              </w:rPr>
            </w:pPr>
            <w:proofErr w:type="spellStart"/>
            <w:r>
              <w:rPr>
                <w:sz w:val="16"/>
                <w:szCs w:val="16"/>
              </w:rPr>
              <w:t>Строкаучастие</w:t>
            </w:r>
            <w:proofErr w:type="spellEnd"/>
          </w:p>
        </w:tc>
      </w:tr>
      <w:tr w:rsidR="00091F0A" w:rsidTr="00436BAE">
        <w:tblPrEx>
          <w:tblCellMar>
            <w:left w:w="56" w:type="dxa"/>
            <w:right w:w="56" w:type="dxa"/>
          </w:tblCellMar>
        </w:tblPrEx>
        <w:trPr>
          <w:cantSplit/>
          <w:trHeight w:val="131"/>
        </w:trPr>
        <w:tc>
          <w:tcPr>
            <w:tcW w:w="7528" w:type="dxa"/>
            <w:gridSpan w:val="4"/>
            <w:vMerge w:val="restart"/>
            <w:tcBorders>
              <w:top w:val="single" w:sz="4" w:space="0" w:color="000000"/>
              <w:left w:val="single" w:sz="4" w:space="0" w:color="000000"/>
            </w:tcBorders>
          </w:tcPr>
          <w:p w:rsidR="00091F0A" w:rsidRDefault="00091F0A">
            <w:pPr>
              <w:tabs>
                <w:tab w:val="left" w:pos="360"/>
                <w:tab w:val="left" w:pos="2520"/>
              </w:tabs>
              <w:snapToGrid w:val="0"/>
              <w:jc w:val="both"/>
              <w:rPr>
                <w:sz w:val="16"/>
                <w:szCs w:val="16"/>
              </w:rPr>
            </w:pPr>
            <w:r>
              <w:rPr>
                <w:bCs/>
                <w:sz w:val="16"/>
                <w:szCs w:val="16"/>
              </w:rPr>
              <w:t>Абонент на включение сведений о нем в базу данных для информационно-справочного обслуживания</w:t>
            </w:r>
            <w:r>
              <w:rPr>
                <w:sz w:val="16"/>
                <w:szCs w:val="16"/>
              </w:rPr>
              <w:t>.</w:t>
            </w:r>
          </w:p>
        </w:tc>
        <w:tc>
          <w:tcPr>
            <w:tcW w:w="2700" w:type="dxa"/>
            <w:tcBorders>
              <w:top w:val="single" w:sz="4" w:space="0" w:color="000000"/>
              <w:left w:val="single" w:sz="4" w:space="0" w:color="000000"/>
              <w:bottom w:val="single" w:sz="4" w:space="0" w:color="000000"/>
            </w:tcBorders>
          </w:tcPr>
          <w:p w:rsidR="00091F0A" w:rsidRDefault="00091F0A">
            <w:pPr>
              <w:tabs>
                <w:tab w:val="left" w:pos="360"/>
                <w:tab w:val="left" w:pos="2520"/>
              </w:tabs>
              <w:snapToGrid w:val="0"/>
              <w:jc w:val="right"/>
              <w:rPr>
                <w:i/>
                <w:sz w:val="16"/>
                <w:szCs w:val="16"/>
              </w:rPr>
            </w:pPr>
            <w:r>
              <w:rPr>
                <w:i/>
                <w:sz w:val="16"/>
                <w:szCs w:val="16"/>
              </w:rPr>
              <w:t>Согласен</w:t>
            </w:r>
          </w:p>
        </w:tc>
        <w:tc>
          <w:tcPr>
            <w:tcW w:w="829" w:type="dxa"/>
            <w:gridSpan w:val="2"/>
            <w:tcBorders>
              <w:top w:val="single" w:sz="4" w:space="0" w:color="000000"/>
              <w:left w:val="single" w:sz="4" w:space="0" w:color="000000"/>
              <w:bottom w:val="single" w:sz="4" w:space="0" w:color="000000"/>
              <w:right w:val="single" w:sz="4" w:space="0" w:color="000000"/>
            </w:tcBorders>
          </w:tcPr>
          <w:p w:rsidR="00091F0A" w:rsidRDefault="00091F0A">
            <w:pPr>
              <w:tabs>
                <w:tab w:val="left" w:pos="360"/>
                <w:tab w:val="left" w:pos="2520"/>
              </w:tabs>
              <w:snapToGrid w:val="0"/>
              <w:jc w:val="center"/>
              <w:rPr>
                <w:i/>
                <w:sz w:val="16"/>
                <w:szCs w:val="16"/>
              </w:rPr>
            </w:pPr>
          </w:p>
        </w:tc>
      </w:tr>
      <w:tr w:rsidR="00091F0A" w:rsidTr="00436BAE">
        <w:tblPrEx>
          <w:tblCellMar>
            <w:left w:w="56" w:type="dxa"/>
            <w:right w:w="56" w:type="dxa"/>
          </w:tblCellMar>
        </w:tblPrEx>
        <w:trPr>
          <w:cantSplit/>
          <w:trHeight w:hRule="exact" w:val="186"/>
        </w:trPr>
        <w:tc>
          <w:tcPr>
            <w:tcW w:w="7528" w:type="dxa"/>
            <w:gridSpan w:val="4"/>
            <w:vMerge/>
            <w:tcBorders>
              <w:left w:val="single" w:sz="4" w:space="0" w:color="000000"/>
              <w:bottom w:val="single" w:sz="4" w:space="0" w:color="000000"/>
            </w:tcBorders>
          </w:tcPr>
          <w:p w:rsidR="00091F0A" w:rsidRDefault="00091F0A">
            <w:pPr>
              <w:pStyle w:val="6"/>
              <w:snapToGrid w:val="0"/>
              <w:spacing w:before="0" w:after="0"/>
              <w:rPr>
                <w:sz w:val="16"/>
                <w:szCs w:val="16"/>
              </w:rPr>
            </w:pPr>
          </w:p>
        </w:tc>
        <w:tc>
          <w:tcPr>
            <w:tcW w:w="2700" w:type="dxa"/>
            <w:tcBorders>
              <w:top w:val="single" w:sz="4" w:space="0" w:color="000000"/>
              <w:left w:val="single" w:sz="4" w:space="0" w:color="000000"/>
              <w:bottom w:val="single" w:sz="4" w:space="0" w:color="000000"/>
            </w:tcBorders>
          </w:tcPr>
          <w:p w:rsidR="00091F0A" w:rsidRDefault="00091F0A">
            <w:pPr>
              <w:pStyle w:val="6"/>
              <w:snapToGrid w:val="0"/>
              <w:spacing w:before="0" w:after="0"/>
              <w:jc w:val="right"/>
              <w:rPr>
                <w:sz w:val="16"/>
                <w:szCs w:val="16"/>
              </w:rPr>
            </w:pPr>
            <w:r>
              <w:rPr>
                <w:sz w:val="16"/>
                <w:szCs w:val="16"/>
              </w:rPr>
              <w:t>Не согласен</w:t>
            </w:r>
          </w:p>
        </w:tc>
        <w:tc>
          <w:tcPr>
            <w:tcW w:w="829" w:type="dxa"/>
            <w:gridSpan w:val="2"/>
            <w:tcBorders>
              <w:top w:val="single" w:sz="4" w:space="0" w:color="000000"/>
              <w:left w:val="single" w:sz="4" w:space="0" w:color="000000"/>
              <w:bottom w:val="single" w:sz="4" w:space="0" w:color="000000"/>
              <w:right w:val="single" w:sz="4" w:space="0" w:color="000000"/>
            </w:tcBorders>
          </w:tcPr>
          <w:p w:rsidR="00091F0A" w:rsidRDefault="00091F0A">
            <w:pPr>
              <w:pStyle w:val="6"/>
              <w:snapToGrid w:val="0"/>
              <w:spacing w:before="0" w:after="0"/>
              <w:jc w:val="center"/>
              <w:rPr>
                <w:b/>
                <w:i w:val="0"/>
                <w:sz w:val="16"/>
                <w:szCs w:val="16"/>
              </w:rPr>
            </w:pPr>
            <w:r>
              <w:rPr>
                <w:b/>
                <w:i w:val="0"/>
                <w:sz w:val="16"/>
                <w:szCs w:val="16"/>
              </w:rPr>
              <w:t>Х</w:t>
            </w:r>
          </w:p>
        </w:tc>
      </w:tr>
      <w:tr w:rsidR="00091F0A" w:rsidTr="00436BAE">
        <w:tblPrEx>
          <w:tblCellMar>
            <w:left w:w="56" w:type="dxa"/>
            <w:right w:w="56" w:type="dxa"/>
          </w:tblCellMar>
        </w:tblPrEx>
        <w:trPr>
          <w:cantSplit/>
          <w:trHeight w:hRule="exact" w:val="226"/>
        </w:trPr>
        <w:tc>
          <w:tcPr>
            <w:tcW w:w="11057" w:type="dxa"/>
            <w:gridSpan w:val="7"/>
            <w:tcBorders>
              <w:left w:val="single" w:sz="4" w:space="0" w:color="000000"/>
              <w:right w:val="single" w:sz="4" w:space="0" w:color="000000"/>
            </w:tcBorders>
            <w:vAlign w:val="center"/>
          </w:tcPr>
          <w:p w:rsidR="00091F0A" w:rsidRDefault="00091F0A">
            <w:pPr>
              <w:pStyle w:val="6"/>
              <w:snapToGrid w:val="0"/>
              <w:spacing w:before="0" w:after="0"/>
              <w:jc w:val="center"/>
              <w:rPr>
                <w:b/>
                <w:sz w:val="16"/>
                <w:szCs w:val="16"/>
              </w:rPr>
            </w:pPr>
            <w:r>
              <w:rPr>
                <w:b/>
                <w:i w:val="0"/>
                <w:sz w:val="16"/>
                <w:szCs w:val="16"/>
              </w:rPr>
              <w:t>Характеристики</w:t>
            </w:r>
            <w:r>
              <w:rPr>
                <w:b/>
                <w:sz w:val="16"/>
                <w:szCs w:val="16"/>
              </w:rPr>
              <w:t xml:space="preserve"> </w:t>
            </w:r>
            <w:r>
              <w:rPr>
                <w:b/>
                <w:i w:val="0"/>
                <w:sz w:val="16"/>
                <w:szCs w:val="16"/>
              </w:rPr>
              <w:t>подключения</w:t>
            </w:r>
            <w:r>
              <w:rPr>
                <w:b/>
                <w:sz w:val="16"/>
                <w:szCs w:val="16"/>
              </w:rPr>
              <w:t>:</w:t>
            </w:r>
          </w:p>
        </w:tc>
      </w:tr>
      <w:tr w:rsidR="00091F0A" w:rsidTr="00436BAE">
        <w:tblPrEx>
          <w:tblCellMar>
            <w:left w:w="56" w:type="dxa"/>
            <w:right w:w="56" w:type="dxa"/>
          </w:tblCellMar>
        </w:tblPrEx>
        <w:trPr>
          <w:cantSplit/>
          <w:trHeight w:hRule="exact" w:val="282"/>
        </w:trPr>
        <w:tc>
          <w:tcPr>
            <w:tcW w:w="2488" w:type="dxa"/>
            <w:gridSpan w:val="2"/>
            <w:vMerge w:val="restart"/>
            <w:tcBorders>
              <w:top w:val="single" w:sz="4" w:space="0" w:color="000000"/>
              <w:left w:val="single" w:sz="4" w:space="0" w:color="000000"/>
              <w:bottom w:val="single" w:sz="4" w:space="0" w:color="000000"/>
            </w:tcBorders>
            <w:vAlign w:val="center"/>
          </w:tcPr>
          <w:p w:rsidR="00091F0A" w:rsidRDefault="00091F0A">
            <w:pPr>
              <w:pStyle w:val="30"/>
              <w:snapToGrid w:val="0"/>
              <w:spacing w:before="0" w:after="0"/>
              <w:rPr>
                <w:rFonts w:ascii="Times New Roman" w:hAnsi="Times New Roman"/>
                <w:sz w:val="16"/>
                <w:szCs w:val="16"/>
              </w:rPr>
            </w:pPr>
            <w:r>
              <w:rPr>
                <w:rFonts w:ascii="Times New Roman" w:hAnsi="Times New Roman"/>
                <w:sz w:val="16"/>
                <w:szCs w:val="16"/>
              </w:rPr>
              <w:t xml:space="preserve">Вид подключения </w:t>
            </w:r>
          </w:p>
        </w:tc>
        <w:tc>
          <w:tcPr>
            <w:tcW w:w="7818" w:type="dxa"/>
            <w:gridSpan w:val="4"/>
            <w:tcBorders>
              <w:top w:val="single" w:sz="4" w:space="0" w:color="000000"/>
              <w:left w:val="single" w:sz="4" w:space="0" w:color="000000"/>
              <w:bottom w:val="single" w:sz="4" w:space="0" w:color="000000"/>
            </w:tcBorders>
            <w:vAlign w:val="center"/>
          </w:tcPr>
          <w:p w:rsidR="00091F0A" w:rsidRDefault="00091F0A">
            <w:pPr>
              <w:pStyle w:val="6"/>
              <w:snapToGrid w:val="0"/>
              <w:spacing w:before="0" w:after="0"/>
              <w:rPr>
                <w:color w:val="000000"/>
                <w:sz w:val="16"/>
                <w:szCs w:val="16"/>
              </w:rPr>
            </w:pPr>
            <w:r>
              <w:rPr>
                <w:color w:val="000000"/>
                <w:sz w:val="16"/>
                <w:szCs w:val="16"/>
              </w:rPr>
              <w:t>Организация доступа с использованием телефонной линии на номер</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46"/>
        </w:trPr>
        <w:tc>
          <w:tcPr>
            <w:tcW w:w="2488" w:type="dxa"/>
            <w:gridSpan w:val="2"/>
            <w:vMerge/>
            <w:tcBorders>
              <w:top w:val="single" w:sz="4" w:space="0" w:color="000000"/>
              <w:left w:val="single" w:sz="4" w:space="0" w:color="000000"/>
              <w:bottom w:val="single" w:sz="4" w:space="0" w:color="000000"/>
            </w:tcBorders>
            <w:vAlign w:val="center"/>
          </w:tcPr>
          <w:p w:rsidR="00091F0A" w:rsidRDefault="00091F0A">
            <w:pPr>
              <w:pStyle w:val="30"/>
              <w:snapToGrid w:val="0"/>
              <w:spacing w:before="0" w:after="0"/>
              <w:rPr>
                <w:rFonts w:ascii="Times New Roman" w:hAnsi="Times New Roman"/>
                <w:b/>
                <w:sz w:val="16"/>
                <w:szCs w:val="16"/>
              </w:rPr>
            </w:pPr>
          </w:p>
        </w:tc>
        <w:tc>
          <w:tcPr>
            <w:tcW w:w="7818" w:type="dxa"/>
            <w:gridSpan w:val="4"/>
            <w:tcBorders>
              <w:top w:val="single" w:sz="4" w:space="0" w:color="000000"/>
              <w:left w:val="single" w:sz="4" w:space="0" w:color="000000"/>
              <w:bottom w:val="single" w:sz="4" w:space="0" w:color="000000"/>
            </w:tcBorders>
            <w:vAlign w:val="center"/>
          </w:tcPr>
          <w:p w:rsidR="00091F0A" w:rsidRDefault="00091F0A">
            <w:pPr>
              <w:pStyle w:val="6"/>
              <w:snapToGrid w:val="0"/>
              <w:spacing w:before="0" w:after="0"/>
              <w:rPr>
                <w:color w:val="000000"/>
                <w:sz w:val="16"/>
                <w:szCs w:val="16"/>
              </w:rPr>
            </w:pPr>
            <w:r>
              <w:rPr>
                <w:color w:val="000000"/>
                <w:sz w:val="16"/>
                <w:szCs w:val="16"/>
              </w:rPr>
              <w:t>Организация прямого провода до пункта назначения</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22"/>
        </w:trPr>
        <w:tc>
          <w:tcPr>
            <w:tcW w:w="2488" w:type="dxa"/>
            <w:gridSpan w:val="2"/>
            <w:vMerge/>
            <w:tcBorders>
              <w:top w:val="single" w:sz="4" w:space="0" w:color="000000"/>
              <w:left w:val="single" w:sz="4" w:space="0" w:color="000000"/>
              <w:bottom w:val="single" w:sz="4" w:space="0" w:color="000000"/>
            </w:tcBorders>
            <w:vAlign w:val="center"/>
          </w:tcPr>
          <w:p w:rsidR="00091F0A" w:rsidRDefault="00091F0A">
            <w:pPr>
              <w:pStyle w:val="30"/>
              <w:snapToGrid w:val="0"/>
              <w:spacing w:before="0" w:after="0"/>
              <w:rPr>
                <w:rFonts w:ascii="Times New Roman" w:hAnsi="Times New Roman"/>
                <w:b/>
                <w:sz w:val="16"/>
                <w:szCs w:val="16"/>
              </w:rPr>
            </w:pPr>
          </w:p>
        </w:tc>
        <w:tc>
          <w:tcPr>
            <w:tcW w:w="7818" w:type="dxa"/>
            <w:gridSpan w:val="4"/>
            <w:tcBorders>
              <w:top w:val="single" w:sz="4" w:space="0" w:color="000000"/>
              <w:left w:val="single" w:sz="4" w:space="0" w:color="000000"/>
              <w:bottom w:val="single" w:sz="4" w:space="0" w:color="000000"/>
            </w:tcBorders>
            <w:vAlign w:val="center"/>
          </w:tcPr>
          <w:p w:rsidR="00091F0A" w:rsidRDefault="00091F0A">
            <w:pPr>
              <w:pStyle w:val="6"/>
              <w:snapToGrid w:val="0"/>
              <w:spacing w:before="0" w:after="0"/>
              <w:rPr>
                <w:color w:val="000000"/>
                <w:sz w:val="16"/>
                <w:szCs w:val="16"/>
              </w:rPr>
            </w:pPr>
            <w:r>
              <w:rPr>
                <w:color w:val="000000"/>
                <w:sz w:val="16"/>
                <w:szCs w:val="16"/>
              </w:rPr>
              <w:t xml:space="preserve">Организация витой пары до пункта назначения (при наличии технической возможности). </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67"/>
        </w:trPr>
        <w:tc>
          <w:tcPr>
            <w:tcW w:w="1588" w:type="dxa"/>
            <w:vMerge w:val="restart"/>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sz w:val="16"/>
                <w:szCs w:val="16"/>
              </w:rPr>
            </w:pPr>
            <w:proofErr w:type="gramStart"/>
            <w:r>
              <w:rPr>
                <w:rFonts w:ascii="Times New Roman" w:hAnsi="Times New Roman"/>
                <w:sz w:val="16"/>
                <w:szCs w:val="16"/>
              </w:rPr>
              <w:t>Тарифный  план</w:t>
            </w:r>
            <w:proofErr w:type="gramEnd"/>
          </w:p>
        </w:tc>
        <w:tc>
          <w:tcPr>
            <w:tcW w:w="8718" w:type="dxa"/>
            <w:gridSpan w:val="5"/>
            <w:tcBorders>
              <w:top w:val="single" w:sz="4" w:space="0" w:color="000000"/>
              <w:left w:val="single" w:sz="4" w:space="0" w:color="000000"/>
              <w:bottom w:val="single" w:sz="4" w:space="0" w:color="000000"/>
            </w:tcBorders>
          </w:tcPr>
          <w:p w:rsidR="00091F0A" w:rsidRDefault="00091F0A">
            <w:pPr>
              <w:snapToGrid w:val="0"/>
              <w:rPr>
                <w:i/>
                <w:sz w:val="16"/>
                <w:szCs w:val="16"/>
                <w:u w:val="single"/>
              </w:rPr>
            </w:pPr>
            <w:r>
              <w:rPr>
                <w:b/>
                <w:sz w:val="16"/>
                <w:szCs w:val="16"/>
              </w:rPr>
              <w:t>Стартовый</w:t>
            </w:r>
            <w:r>
              <w:rPr>
                <w:b/>
                <w:i/>
                <w:sz w:val="16"/>
                <w:szCs w:val="16"/>
              </w:rPr>
              <w:t xml:space="preserve"> *</w:t>
            </w:r>
            <w:r>
              <w:rPr>
                <w:i/>
                <w:sz w:val="16"/>
                <w:szCs w:val="16"/>
              </w:rPr>
              <w:t xml:space="preserve">(Тарифный план с ежемесячной абонентской платой. Скорость доступа в сеть Интернет </w:t>
            </w:r>
            <w:r>
              <w:rPr>
                <w:i/>
                <w:sz w:val="16"/>
                <w:szCs w:val="16"/>
                <w:u w:val="single"/>
              </w:rPr>
              <w:t>не гарантирована.</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84"/>
        </w:trPr>
        <w:tc>
          <w:tcPr>
            <w:tcW w:w="1588" w:type="dxa"/>
            <w:vMerge/>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b/>
                <w:sz w:val="16"/>
                <w:szCs w:val="16"/>
              </w:rPr>
            </w:pPr>
          </w:p>
        </w:tc>
        <w:tc>
          <w:tcPr>
            <w:tcW w:w="8718" w:type="dxa"/>
            <w:gridSpan w:val="5"/>
            <w:tcBorders>
              <w:top w:val="single" w:sz="4" w:space="0" w:color="000000"/>
              <w:left w:val="single" w:sz="4" w:space="0" w:color="000000"/>
              <w:bottom w:val="single" w:sz="4" w:space="0" w:color="000000"/>
            </w:tcBorders>
          </w:tcPr>
          <w:p w:rsidR="00091F0A" w:rsidRDefault="00091F0A">
            <w:pPr>
              <w:snapToGrid w:val="0"/>
              <w:rPr>
                <w:i/>
                <w:sz w:val="16"/>
                <w:szCs w:val="16"/>
                <w:u w:val="single"/>
              </w:rPr>
            </w:pPr>
            <w:r>
              <w:rPr>
                <w:b/>
                <w:sz w:val="16"/>
                <w:szCs w:val="16"/>
              </w:rPr>
              <w:t>Хороший *</w:t>
            </w:r>
            <w:r>
              <w:rPr>
                <w:b/>
                <w:i/>
                <w:sz w:val="16"/>
                <w:szCs w:val="16"/>
              </w:rPr>
              <w:t>(</w:t>
            </w:r>
            <w:r>
              <w:rPr>
                <w:i/>
                <w:sz w:val="16"/>
                <w:szCs w:val="16"/>
              </w:rPr>
              <w:t xml:space="preserve">Тарифный план с ежемесячной абонентской платой. Скорость доступа в сеть Интернет </w:t>
            </w:r>
            <w:r>
              <w:rPr>
                <w:i/>
                <w:sz w:val="16"/>
                <w:szCs w:val="16"/>
                <w:u w:val="single"/>
              </w:rPr>
              <w:t>не гарантирована</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89"/>
        </w:trPr>
        <w:tc>
          <w:tcPr>
            <w:tcW w:w="1588" w:type="dxa"/>
            <w:vMerge/>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b/>
                <w:sz w:val="16"/>
                <w:szCs w:val="16"/>
              </w:rPr>
            </w:pPr>
          </w:p>
        </w:tc>
        <w:tc>
          <w:tcPr>
            <w:tcW w:w="8718" w:type="dxa"/>
            <w:gridSpan w:val="5"/>
            <w:tcBorders>
              <w:top w:val="single" w:sz="4" w:space="0" w:color="000000"/>
              <w:left w:val="single" w:sz="4" w:space="0" w:color="000000"/>
              <w:bottom w:val="single" w:sz="4" w:space="0" w:color="000000"/>
            </w:tcBorders>
          </w:tcPr>
          <w:p w:rsidR="00091F0A" w:rsidRDefault="00091F0A">
            <w:pPr>
              <w:snapToGrid w:val="0"/>
              <w:rPr>
                <w:i/>
                <w:sz w:val="16"/>
                <w:szCs w:val="16"/>
                <w:u w:val="single"/>
              </w:rPr>
            </w:pPr>
            <w:r>
              <w:rPr>
                <w:b/>
                <w:sz w:val="16"/>
                <w:szCs w:val="16"/>
              </w:rPr>
              <w:t>Отличный*</w:t>
            </w:r>
            <w:r>
              <w:rPr>
                <w:i/>
                <w:sz w:val="16"/>
                <w:szCs w:val="16"/>
              </w:rPr>
              <w:t xml:space="preserve"> (Тарифный план с ежемесячной абонентской платой. Скорость доступа в сеть Интернет </w:t>
            </w:r>
            <w:r>
              <w:rPr>
                <w:i/>
                <w:sz w:val="16"/>
                <w:szCs w:val="16"/>
                <w:u w:val="single"/>
              </w:rPr>
              <w:t>не гарантирована</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Height w:hRule="exact" w:val="278"/>
        </w:trPr>
        <w:tc>
          <w:tcPr>
            <w:tcW w:w="1588" w:type="dxa"/>
            <w:vMerge/>
            <w:tcBorders>
              <w:top w:val="single" w:sz="4" w:space="0" w:color="000000"/>
              <w:left w:val="single" w:sz="4" w:space="0" w:color="000000"/>
              <w:bottom w:val="single" w:sz="4" w:space="0" w:color="000000"/>
            </w:tcBorders>
            <w:vAlign w:val="center"/>
          </w:tcPr>
          <w:p w:rsidR="00091F0A" w:rsidRDefault="00091F0A">
            <w:pPr>
              <w:pStyle w:val="30"/>
              <w:keepNext w:val="0"/>
              <w:snapToGrid w:val="0"/>
              <w:spacing w:before="0" w:after="0"/>
              <w:rPr>
                <w:rFonts w:ascii="Times New Roman" w:hAnsi="Times New Roman"/>
                <w:b/>
                <w:sz w:val="16"/>
                <w:szCs w:val="16"/>
              </w:rPr>
            </w:pPr>
          </w:p>
        </w:tc>
        <w:tc>
          <w:tcPr>
            <w:tcW w:w="8718" w:type="dxa"/>
            <w:gridSpan w:val="5"/>
            <w:tcBorders>
              <w:top w:val="single" w:sz="4" w:space="0" w:color="000000"/>
              <w:left w:val="single" w:sz="4" w:space="0" w:color="000000"/>
              <w:bottom w:val="single" w:sz="4" w:space="0" w:color="000000"/>
            </w:tcBorders>
          </w:tcPr>
          <w:p w:rsidR="00091F0A" w:rsidRDefault="00091F0A">
            <w:pPr>
              <w:snapToGrid w:val="0"/>
              <w:rPr>
                <w:i/>
                <w:sz w:val="16"/>
                <w:szCs w:val="16"/>
                <w:u w:val="single"/>
              </w:rPr>
            </w:pPr>
            <w:r>
              <w:rPr>
                <w:sz w:val="16"/>
                <w:szCs w:val="16"/>
              </w:rPr>
              <w:t>Пакет - 2</w:t>
            </w:r>
            <w:r>
              <w:rPr>
                <w:rFonts w:ascii="Wingdings 2" w:hAnsi="Wingdings 2"/>
                <w:sz w:val="16"/>
                <w:szCs w:val="16"/>
              </w:rPr>
              <w:t></w:t>
            </w:r>
            <w:r>
              <w:rPr>
                <w:i/>
                <w:sz w:val="16"/>
                <w:szCs w:val="16"/>
              </w:rPr>
              <w:t xml:space="preserve"> (Тарифный план с ежемесячной абонентской платой. Скорость доступа в сеть Интернет </w:t>
            </w:r>
            <w:r>
              <w:rPr>
                <w:i/>
                <w:sz w:val="16"/>
                <w:szCs w:val="16"/>
                <w:u w:val="single"/>
              </w:rPr>
              <w:t>не гарантирована.</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Height w:val="263"/>
        </w:trPr>
        <w:tc>
          <w:tcPr>
            <w:tcW w:w="1588" w:type="dxa"/>
            <w:vMerge/>
            <w:tcBorders>
              <w:top w:val="single" w:sz="4" w:space="0" w:color="000000"/>
              <w:left w:val="single" w:sz="4" w:space="0" w:color="000000"/>
              <w:bottom w:val="single" w:sz="4" w:space="0" w:color="000000"/>
            </w:tcBorders>
            <w:vAlign w:val="center"/>
          </w:tcPr>
          <w:p w:rsidR="00091F0A" w:rsidRDefault="00091F0A">
            <w:pPr>
              <w:pStyle w:val="12"/>
              <w:snapToGrid w:val="0"/>
              <w:spacing w:before="0"/>
              <w:rPr>
                <w:rFonts w:ascii="Times New Roman" w:hAnsi="Times New Roman"/>
                <w:sz w:val="16"/>
                <w:szCs w:val="16"/>
              </w:rPr>
            </w:pPr>
          </w:p>
        </w:tc>
        <w:tc>
          <w:tcPr>
            <w:tcW w:w="8718" w:type="dxa"/>
            <w:gridSpan w:val="5"/>
            <w:tcBorders>
              <w:top w:val="single" w:sz="4" w:space="0" w:color="000000"/>
              <w:left w:val="single" w:sz="4" w:space="0" w:color="000000"/>
              <w:bottom w:val="single" w:sz="4" w:space="0" w:color="000000"/>
            </w:tcBorders>
          </w:tcPr>
          <w:p w:rsidR="00091F0A" w:rsidRDefault="00091F0A">
            <w:pPr>
              <w:snapToGrid w:val="0"/>
              <w:rPr>
                <w:i/>
                <w:sz w:val="16"/>
                <w:szCs w:val="16"/>
              </w:rPr>
            </w:pPr>
            <w:r>
              <w:rPr>
                <w:sz w:val="16"/>
                <w:szCs w:val="16"/>
              </w:rPr>
              <w:t>Пакет - 5</w:t>
            </w:r>
            <w:r>
              <w:rPr>
                <w:rFonts w:ascii="Wingdings 2" w:hAnsi="Wingdings 2"/>
                <w:sz w:val="16"/>
                <w:szCs w:val="16"/>
              </w:rPr>
              <w:t></w:t>
            </w:r>
            <w:r>
              <w:rPr>
                <w:i/>
                <w:sz w:val="16"/>
                <w:szCs w:val="16"/>
              </w:rPr>
              <w:t xml:space="preserve"> (Тарифный план с ежемесячной абонентской платой. Скорость доступа в сеть Интернет </w:t>
            </w:r>
            <w:r>
              <w:rPr>
                <w:i/>
                <w:sz w:val="16"/>
                <w:szCs w:val="16"/>
                <w:u w:val="single"/>
              </w:rPr>
              <w:t>не гарантирована</w:t>
            </w:r>
            <w:proofErr w:type="gramStart"/>
            <w:r>
              <w:rPr>
                <w:i/>
                <w:sz w:val="16"/>
                <w:szCs w:val="16"/>
                <w:u w:val="single"/>
              </w:rPr>
              <w:t>.</w:t>
            </w:r>
            <w:r>
              <w:rPr>
                <w:i/>
                <w:sz w:val="16"/>
                <w:szCs w:val="16"/>
              </w:rPr>
              <w:t xml:space="preserve"> )</w:t>
            </w:r>
            <w:proofErr w:type="gramEnd"/>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Height w:val="267"/>
        </w:trPr>
        <w:tc>
          <w:tcPr>
            <w:tcW w:w="1588" w:type="dxa"/>
            <w:vMerge/>
            <w:tcBorders>
              <w:top w:val="single" w:sz="4" w:space="0" w:color="000000"/>
              <w:left w:val="single" w:sz="4" w:space="0" w:color="000000"/>
              <w:bottom w:val="single" w:sz="4" w:space="0" w:color="000000"/>
            </w:tcBorders>
            <w:vAlign w:val="center"/>
          </w:tcPr>
          <w:p w:rsidR="00091F0A" w:rsidRDefault="00091F0A">
            <w:pPr>
              <w:pStyle w:val="12"/>
              <w:snapToGrid w:val="0"/>
              <w:spacing w:before="0"/>
              <w:rPr>
                <w:rFonts w:ascii="Times New Roman" w:hAnsi="Times New Roman"/>
                <w:sz w:val="16"/>
                <w:szCs w:val="16"/>
              </w:rPr>
            </w:pPr>
          </w:p>
        </w:tc>
        <w:tc>
          <w:tcPr>
            <w:tcW w:w="8718" w:type="dxa"/>
            <w:gridSpan w:val="5"/>
            <w:tcBorders>
              <w:top w:val="single" w:sz="4" w:space="0" w:color="000000"/>
              <w:left w:val="single" w:sz="4" w:space="0" w:color="000000"/>
              <w:bottom w:val="single" w:sz="4" w:space="0" w:color="000000"/>
            </w:tcBorders>
          </w:tcPr>
          <w:p w:rsidR="00091F0A" w:rsidRDefault="00091F0A">
            <w:pPr>
              <w:snapToGrid w:val="0"/>
              <w:jc w:val="both"/>
              <w:rPr>
                <w:i/>
                <w:sz w:val="16"/>
                <w:szCs w:val="16"/>
                <w:u w:val="single"/>
              </w:rPr>
            </w:pPr>
            <w:r>
              <w:rPr>
                <w:sz w:val="16"/>
                <w:szCs w:val="16"/>
              </w:rPr>
              <w:t>Пакет - 10</w:t>
            </w:r>
            <w:r>
              <w:rPr>
                <w:rFonts w:ascii="Wingdings 2" w:hAnsi="Wingdings 2"/>
                <w:sz w:val="16"/>
                <w:szCs w:val="16"/>
              </w:rPr>
              <w:t></w:t>
            </w:r>
            <w:r>
              <w:rPr>
                <w:i/>
                <w:sz w:val="16"/>
                <w:szCs w:val="16"/>
              </w:rPr>
              <w:t xml:space="preserve"> (Тарифный план с </w:t>
            </w:r>
            <w:proofErr w:type="gramStart"/>
            <w:r>
              <w:rPr>
                <w:i/>
                <w:sz w:val="16"/>
                <w:szCs w:val="16"/>
              </w:rPr>
              <w:t>ежемесячной  абонентской</w:t>
            </w:r>
            <w:proofErr w:type="gramEnd"/>
            <w:r>
              <w:rPr>
                <w:i/>
                <w:sz w:val="16"/>
                <w:szCs w:val="16"/>
              </w:rPr>
              <w:t xml:space="preserve"> платой. Скорость доступа в сеть Интернет </w:t>
            </w:r>
            <w:r>
              <w:rPr>
                <w:i/>
                <w:sz w:val="16"/>
                <w:szCs w:val="16"/>
                <w:u w:val="single"/>
              </w:rPr>
              <w:t>не гарантирована)</w:t>
            </w:r>
          </w:p>
        </w:tc>
        <w:tc>
          <w:tcPr>
            <w:tcW w:w="751" w:type="dxa"/>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center"/>
              <w:rPr>
                <w:b/>
                <w:i w:val="0"/>
                <w:sz w:val="16"/>
                <w:szCs w:val="16"/>
              </w:rPr>
            </w:pPr>
          </w:p>
        </w:tc>
      </w:tr>
      <w:tr w:rsidR="00091F0A" w:rsidTr="00436BAE">
        <w:tblPrEx>
          <w:tblCellMar>
            <w:left w:w="56" w:type="dxa"/>
            <w:right w:w="56" w:type="dxa"/>
          </w:tblCellMar>
        </w:tblPrEx>
        <w:trPr>
          <w:cantSplit/>
        </w:trPr>
        <w:tc>
          <w:tcPr>
            <w:tcW w:w="11057" w:type="dxa"/>
            <w:gridSpan w:val="7"/>
            <w:tcBorders>
              <w:top w:val="single" w:sz="4" w:space="0" w:color="000000"/>
              <w:left w:val="single" w:sz="4" w:space="0" w:color="000000"/>
              <w:bottom w:val="single" w:sz="4" w:space="0" w:color="000000"/>
              <w:right w:val="single" w:sz="4" w:space="0" w:color="000000"/>
            </w:tcBorders>
            <w:vAlign w:val="center"/>
          </w:tcPr>
          <w:p w:rsidR="00091F0A" w:rsidRDefault="00091F0A">
            <w:pPr>
              <w:pStyle w:val="6"/>
              <w:tabs>
                <w:tab w:val="left" w:pos="-51"/>
              </w:tabs>
              <w:snapToGrid w:val="0"/>
              <w:spacing w:before="0" w:after="0"/>
              <w:jc w:val="both"/>
              <w:rPr>
                <w:i w:val="0"/>
                <w:sz w:val="16"/>
                <w:szCs w:val="16"/>
              </w:rPr>
            </w:pPr>
            <w:r>
              <w:rPr>
                <w:b/>
                <w:i w:val="0"/>
                <w:sz w:val="16"/>
                <w:szCs w:val="16"/>
              </w:rPr>
              <w:t>*Тарифные планы</w:t>
            </w:r>
            <w:r>
              <w:rPr>
                <w:i w:val="0"/>
                <w:sz w:val="16"/>
                <w:szCs w:val="16"/>
              </w:rPr>
              <w:t xml:space="preserve"> распространяются на абонентов, пользующихся услугами доступа к сети Интернет в г. Кодинск и подключенных по технологии </w:t>
            </w:r>
            <w:proofErr w:type="gramStart"/>
            <w:r>
              <w:rPr>
                <w:i w:val="0"/>
                <w:sz w:val="16"/>
                <w:szCs w:val="16"/>
                <w:lang w:val="en-US"/>
              </w:rPr>
              <w:t>Ethernet</w:t>
            </w:r>
            <w:r>
              <w:rPr>
                <w:i w:val="0"/>
                <w:sz w:val="16"/>
                <w:szCs w:val="16"/>
              </w:rPr>
              <w:t>(</w:t>
            </w:r>
            <w:proofErr w:type="gramEnd"/>
            <w:r>
              <w:rPr>
                <w:i w:val="0"/>
                <w:sz w:val="16"/>
                <w:szCs w:val="16"/>
              </w:rPr>
              <w:t>витая пара).</w:t>
            </w:r>
          </w:p>
          <w:p w:rsidR="00091F0A" w:rsidRDefault="00091F0A">
            <w:pPr>
              <w:pStyle w:val="6"/>
              <w:tabs>
                <w:tab w:val="left" w:pos="-51"/>
              </w:tabs>
              <w:snapToGrid w:val="0"/>
              <w:spacing w:before="0" w:after="0"/>
              <w:jc w:val="both"/>
              <w:rPr>
                <w:i w:val="0"/>
                <w:sz w:val="14"/>
                <w:szCs w:val="14"/>
              </w:rPr>
            </w:pPr>
            <w:r>
              <w:rPr>
                <w:b/>
                <w:i w:val="0"/>
                <w:sz w:val="14"/>
                <w:szCs w:val="14"/>
              </w:rPr>
              <w:t xml:space="preserve">Абонентская плата – </w:t>
            </w:r>
            <w:r>
              <w:rPr>
                <w:i w:val="0"/>
                <w:sz w:val="14"/>
                <w:szCs w:val="14"/>
              </w:rPr>
              <w:t>размер платежа абонента за определенный (расчетный) период, являющийся постоянной величиной, не зависящий от объема фактически полученных услуг.</w:t>
            </w:r>
          </w:p>
          <w:p w:rsidR="00091F0A" w:rsidRDefault="00091F0A">
            <w:pPr>
              <w:jc w:val="both"/>
              <w:rPr>
                <w:sz w:val="14"/>
                <w:szCs w:val="14"/>
              </w:rPr>
            </w:pPr>
            <w:r>
              <w:rPr>
                <w:b/>
                <w:sz w:val="14"/>
                <w:szCs w:val="14"/>
              </w:rPr>
              <w:t xml:space="preserve">Скорость доступа к сети Интернет </w:t>
            </w:r>
            <w:r>
              <w:rPr>
                <w:sz w:val="14"/>
                <w:szCs w:val="14"/>
              </w:rPr>
              <w:t>зависит не только от технических особенностей Услуги, но и от действий третьих сил, организаций и лиц, управляющих сегментами сети Интернет (или оказывающих на них влияние), не принадлежащих ООО «КТИ». Скорость доступа к сети Интернет является величиной неопределенной и зависит от ряда параметров, в том числе, технических характеристик подключения, маршрута и текущей загрузки каналов. Все параметры являются переменными и не гарантируются ООО «КТИ» за пределами своей сети. Указанная в тарифном плане скорость является максимально возможной.</w:t>
            </w:r>
          </w:p>
          <w:p w:rsidR="00091F0A" w:rsidRDefault="00091F0A">
            <w:pPr>
              <w:tabs>
                <w:tab w:val="left" w:pos="-51"/>
              </w:tabs>
              <w:jc w:val="both"/>
              <w:rPr>
                <w:b/>
                <w:bCs/>
                <w:sz w:val="14"/>
                <w:szCs w:val="14"/>
              </w:rPr>
            </w:pPr>
            <w:r>
              <w:rPr>
                <w:b/>
                <w:bCs/>
                <w:sz w:val="14"/>
                <w:szCs w:val="14"/>
              </w:rPr>
              <w:t>Размер абонентской платы, включенный трафик, а также скорость доступа к Услугам устанавливается действующим Прейскурантом цен Оператора.</w:t>
            </w:r>
          </w:p>
        </w:tc>
      </w:tr>
    </w:tbl>
    <w:p w:rsidR="00091F0A" w:rsidRDefault="00091F0A">
      <w:pPr>
        <w:pStyle w:val="Iauiue"/>
        <w:rPr>
          <w:sz w:val="17"/>
          <w:szCs w:val="17"/>
        </w:rPr>
      </w:pPr>
      <w:r w:rsidRPr="007D548F">
        <w:rPr>
          <w:sz w:val="17"/>
          <w:szCs w:val="17"/>
        </w:rPr>
        <w:t>8</w:t>
      </w:r>
      <w:r>
        <w:rPr>
          <w:b/>
          <w:sz w:val="17"/>
          <w:szCs w:val="17"/>
        </w:rPr>
        <w:t>.</w:t>
      </w:r>
      <w:r>
        <w:rPr>
          <w:sz w:val="17"/>
          <w:szCs w:val="17"/>
        </w:rPr>
        <w:t xml:space="preserve"> Настоящее соглашение составлено в двух подлинных экземплярах, имеющих одинаковую юридическую силу, по одному для каждой из сторон, и является неотъемлемой частью Публичной оферты(предложении) на предоставление услуг связи, утвержденной приказом заместителя директора ООО «КТИ» № 10 от «19» октября 2009г. </w:t>
      </w:r>
      <w:proofErr w:type="gramStart"/>
      <w:r>
        <w:rPr>
          <w:sz w:val="17"/>
          <w:szCs w:val="17"/>
        </w:rPr>
        <w:t>( в</w:t>
      </w:r>
      <w:proofErr w:type="gramEnd"/>
      <w:r>
        <w:rPr>
          <w:sz w:val="17"/>
          <w:szCs w:val="17"/>
        </w:rPr>
        <w:t xml:space="preserve"> ред. от 01.09.2012 г.)</w:t>
      </w:r>
    </w:p>
    <w:p w:rsidR="00091F0A" w:rsidRDefault="00091F0A">
      <w:pPr>
        <w:numPr>
          <w:ilvl w:val="0"/>
          <w:numId w:val="3"/>
        </w:numPr>
        <w:tabs>
          <w:tab w:val="left" w:pos="407"/>
        </w:tabs>
        <w:ind w:left="0" w:right="-104" w:firstLine="0"/>
        <w:jc w:val="both"/>
        <w:rPr>
          <w:sz w:val="17"/>
          <w:szCs w:val="17"/>
        </w:rPr>
      </w:pPr>
      <w:r>
        <w:rPr>
          <w:bCs/>
          <w:sz w:val="17"/>
          <w:szCs w:val="17"/>
        </w:rPr>
        <w:t>Во всем остальном, не предусмотренным настоящим Соглашением, стороны руководствуются: Прейскурантом цен Оператора,</w:t>
      </w:r>
      <w:r>
        <w:rPr>
          <w:sz w:val="17"/>
          <w:szCs w:val="17"/>
        </w:rPr>
        <w:t xml:space="preserve"> Правилами оказания услуг связи по передаче данных, утвержденным Постановлением правительства РФ от 23.01.2006 N 32, и обязуется их соблюдать. Стороны несут ответственность, согласно действующему законодательству РФ.</w:t>
      </w:r>
    </w:p>
    <w:p w:rsidR="00091F0A" w:rsidRDefault="00091F0A">
      <w:pPr>
        <w:numPr>
          <w:ilvl w:val="0"/>
          <w:numId w:val="3"/>
        </w:numPr>
        <w:tabs>
          <w:tab w:val="left" w:pos="377"/>
        </w:tabs>
        <w:ind w:left="387" w:hanging="368"/>
        <w:rPr>
          <w:sz w:val="17"/>
          <w:szCs w:val="17"/>
        </w:rPr>
      </w:pPr>
      <w:r>
        <w:rPr>
          <w:sz w:val="17"/>
          <w:szCs w:val="17"/>
        </w:rPr>
        <w:t>Абонент согласен с автоматизированной обработкой, передачей и хранением данных, в рамках настоящего Соглашения, в целях предоставления услуг связи Оператора, в течение всего срока действия Соглашения.</w:t>
      </w:r>
    </w:p>
    <w:p w:rsidR="00091F0A" w:rsidRDefault="00091F0A">
      <w:pPr>
        <w:tabs>
          <w:tab w:val="left" w:pos="360"/>
        </w:tabs>
        <w:ind w:right="-55"/>
        <w:jc w:val="both"/>
        <w:rPr>
          <w:b/>
          <w:sz w:val="18"/>
          <w:szCs w:val="18"/>
        </w:rPr>
      </w:pPr>
      <w:r>
        <w:rPr>
          <w:b/>
          <w:sz w:val="18"/>
          <w:szCs w:val="18"/>
        </w:rPr>
        <w:t>ОПЕРАТОР</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АБОНЕНТ</w:t>
      </w:r>
    </w:p>
    <w:tbl>
      <w:tblPr>
        <w:tblW w:w="0" w:type="auto"/>
        <w:tblLayout w:type="fixed"/>
        <w:tblLook w:val="0000" w:firstRow="0" w:lastRow="0" w:firstColumn="0" w:lastColumn="0" w:noHBand="0" w:noVBand="0"/>
      </w:tblPr>
      <w:tblGrid>
        <w:gridCol w:w="5418"/>
        <w:gridCol w:w="5418"/>
      </w:tblGrid>
      <w:tr w:rsidR="00091F0A">
        <w:tc>
          <w:tcPr>
            <w:tcW w:w="5418" w:type="dxa"/>
          </w:tcPr>
          <w:p w:rsidR="00091F0A" w:rsidRDefault="00091F0A">
            <w:pPr>
              <w:tabs>
                <w:tab w:val="left" w:pos="360"/>
              </w:tabs>
              <w:snapToGrid w:val="0"/>
              <w:ind w:right="-55"/>
              <w:jc w:val="both"/>
              <w:rPr>
                <w:sz w:val="16"/>
                <w:szCs w:val="16"/>
              </w:rPr>
            </w:pPr>
            <w:r>
              <w:rPr>
                <w:sz w:val="16"/>
                <w:szCs w:val="16"/>
              </w:rPr>
              <w:t>ООО «КТИ»</w:t>
            </w:r>
          </w:p>
          <w:p w:rsidR="00B538BF" w:rsidRPr="00B538BF" w:rsidRDefault="00B538BF" w:rsidP="00B538BF">
            <w:pPr>
              <w:tabs>
                <w:tab w:val="left" w:pos="360"/>
              </w:tabs>
              <w:ind w:right="-55"/>
              <w:jc w:val="both"/>
              <w:rPr>
                <w:sz w:val="16"/>
                <w:szCs w:val="16"/>
              </w:rPr>
            </w:pPr>
            <w:r w:rsidRPr="00B538BF">
              <w:rPr>
                <w:sz w:val="16"/>
                <w:szCs w:val="16"/>
              </w:rPr>
              <w:t>663491, Красноярский край, Кежемский район,</w:t>
            </w:r>
          </w:p>
          <w:p w:rsidR="00B538BF" w:rsidRPr="00B538BF" w:rsidRDefault="00B538BF" w:rsidP="00B538BF">
            <w:pPr>
              <w:tabs>
                <w:tab w:val="left" w:pos="360"/>
              </w:tabs>
              <w:ind w:right="-55"/>
              <w:jc w:val="both"/>
              <w:rPr>
                <w:sz w:val="16"/>
                <w:szCs w:val="16"/>
              </w:rPr>
            </w:pPr>
            <w:r w:rsidRPr="00B538BF">
              <w:rPr>
                <w:sz w:val="16"/>
                <w:szCs w:val="16"/>
              </w:rPr>
              <w:t>г. Кодинск, ул. Колесниченко 5, а/я 228, тел.(39143)7-79-91; 7-20-18</w:t>
            </w:r>
          </w:p>
          <w:p w:rsidR="00B538BF" w:rsidRPr="00B538BF" w:rsidRDefault="00B538BF" w:rsidP="00B538BF">
            <w:pPr>
              <w:tabs>
                <w:tab w:val="left" w:pos="360"/>
              </w:tabs>
              <w:ind w:right="-55"/>
              <w:jc w:val="both"/>
              <w:rPr>
                <w:sz w:val="16"/>
                <w:szCs w:val="16"/>
              </w:rPr>
            </w:pPr>
            <w:r w:rsidRPr="00B538BF">
              <w:rPr>
                <w:sz w:val="16"/>
                <w:szCs w:val="16"/>
              </w:rPr>
              <w:t>ИНН 2420070886, КПП 242001001, р/</w:t>
            </w:r>
            <w:proofErr w:type="spellStart"/>
            <w:r w:rsidRPr="00B538BF">
              <w:rPr>
                <w:sz w:val="16"/>
                <w:szCs w:val="16"/>
              </w:rPr>
              <w:t>сч</w:t>
            </w:r>
            <w:proofErr w:type="spellEnd"/>
            <w:r w:rsidRPr="00B538BF">
              <w:rPr>
                <w:sz w:val="16"/>
                <w:szCs w:val="16"/>
              </w:rPr>
              <w:t>. 40702810195240540007</w:t>
            </w:r>
          </w:p>
          <w:p w:rsidR="00B538BF" w:rsidRPr="00B538BF" w:rsidRDefault="00B538BF" w:rsidP="00B538BF">
            <w:pPr>
              <w:tabs>
                <w:tab w:val="left" w:pos="360"/>
              </w:tabs>
              <w:ind w:right="-55"/>
              <w:jc w:val="both"/>
              <w:rPr>
                <w:sz w:val="16"/>
                <w:szCs w:val="16"/>
              </w:rPr>
            </w:pPr>
            <w:r w:rsidRPr="00B538BF">
              <w:rPr>
                <w:sz w:val="16"/>
                <w:szCs w:val="16"/>
              </w:rPr>
              <w:t>к/</w:t>
            </w:r>
            <w:proofErr w:type="spellStart"/>
            <w:r w:rsidRPr="00B538BF">
              <w:rPr>
                <w:sz w:val="16"/>
                <w:szCs w:val="16"/>
              </w:rPr>
              <w:t>сч</w:t>
            </w:r>
            <w:proofErr w:type="spellEnd"/>
            <w:r w:rsidRPr="00B538BF">
              <w:rPr>
                <w:sz w:val="16"/>
                <w:szCs w:val="16"/>
              </w:rPr>
              <w:t xml:space="preserve">. 30101810250040000867, БИК 045004867, </w:t>
            </w:r>
          </w:p>
          <w:p w:rsidR="00B538BF" w:rsidRPr="00B538BF" w:rsidRDefault="00B538BF" w:rsidP="00B538BF">
            <w:pPr>
              <w:rPr>
                <w:sz w:val="16"/>
                <w:szCs w:val="16"/>
              </w:rPr>
            </w:pPr>
            <w:r w:rsidRPr="00B538BF">
              <w:rPr>
                <w:sz w:val="16"/>
                <w:szCs w:val="16"/>
              </w:rPr>
              <w:t>Банк получателя: Ф-л Сибирский ПАО Банк «ФК Открытие»</w:t>
            </w:r>
          </w:p>
          <w:p w:rsidR="00091F0A" w:rsidRDefault="00091F0A">
            <w:pPr>
              <w:tabs>
                <w:tab w:val="left" w:pos="360"/>
              </w:tabs>
              <w:ind w:right="-55"/>
              <w:jc w:val="both"/>
              <w:rPr>
                <w:sz w:val="16"/>
                <w:szCs w:val="16"/>
              </w:rPr>
            </w:pPr>
          </w:p>
        </w:tc>
        <w:tc>
          <w:tcPr>
            <w:tcW w:w="5418" w:type="dxa"/>
          </w:tcPr>
          <w:p w:rsidR="00091F0A" w:rsidRDefault="00091F0A">
            <w:pPr>
              <w:tabs>
                <w:tab w:val="left" w:pos="360"/>
              </w:tabs>
              <w:snapToGrid w:val="0"/>
              <w:ind w:left="252" w:right="-55"/>
              <w:jc w:val="both"/>
              <w:rPr>
                <w:sz w:val="16"/>
                <w:szCs w:val="16"/>
              </w:rPr>
            </w:pPr>
            <w:proofErr w:type="spellStart"/>
            <w:r>
              <w:rPr>
                <w:sz w:val="16"/>
                <w:szCs w:val="16"/>
              </w:rPr>
              <w:t>импадежфиоабонента</w:t>
            </w:r>
            <w:proofErr w:type="spellEnd"/>
          </w:p>
          <w:p w:rsidR="00091F0A" w:rsidRDefault="00091F0A">
            <w:pPr>
              <w:tabs>
                <w:tab w:val="left" w:pos="432"/>
              </w:tabs>
              <w:ind w:left="252" w:right="-55"/>
              <w:jc w:val="both"/>
              <w:rPr>
                <w:sz w:val="16"/>
                <w:szCs w:val="16"/>
              </w:rPr>
            </w:pPr>
            <w:r>
              <w:rPr>
                <w:sz w:val="16"/>
                <w:szCs w:val="16"/>
              </w:rPr>
              <w:t xml:space="preserve">Юридический адрес: </w:t>
            </w:r>
            <w:proofErr w:type="spellStart"/>
            <w:r>
              <w:rPr>
                <w:sz w:val="16"/>
                <w:szCs w:val="16"/>
              </w:rPr>
              <w:t>адреспропискаабонента</w:t>
            </w:r>
            <w:proofErr w:type="spellEnd"/>
          </w:p>
          <w:p w:rsidR="00091F0A" w:rsidRDefault="00091F0A">
            <w:pPr>
              <w:tabs>
                <w:tab w:val="left" w:pos="432"/>
              </w:tabs>
              <w:ind w:left="252" w:right="-55"/>
              <w:jc w:val="both"/>
              <w:rPr>
                <w:sz w:val="16"/>
                <w:szCs w:val="16"/>
              </w:rPr>
            </w:pPr>
            <w:r>
              <w:rPr>
                <w:sz w:val="16"/>
                <w:szCs w:val="16"/>
              </w:rPr>
              <w:t xml:space="preserve">Фактический адрес: </w:t>
            </w:r>
            <w:proofErr w:type="spellStart"/>
            <w:r>
              <w:rPr>
                <w:sz w:val="16"/>
                <w:szCs w:val="16"/>
              </w:rPr>
              <w:t>адресабонента</w:t>
            </w:r>
            <w:proofErr w:type="spellEnd"/>
            <w:r>
              <w:rPr>
                <w:sz w:val="16"/>
                <w:szCs w:val="16"/>
              </w:rPr>
              <w:t xml:space="preserve"> </w:t>
            </w:r>
          </w:p>
        </w:tc>
      </w:tr>
    </w:tbl>
    <w:p w:rsidR="00091F0A" w:rsidRDefault="00091F0A">
      <w:pPr>
        <w:ind w:left="360"/>
        <w:rPr>
          <w:sz w:val="18"/>
          <w:szCs w:val="18"/>
        </w:rPr>
      </w:pPr>
      <w:r>
        <w:rPr>
          <w:sz w:val="18"/>
          <w:szCs w:val="18"/>
        </w:rPr>
        <w:t>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w:t>
      </w:r>
    </w:p>
    <w:p w:rsidR="00091F0A" w:rsidRDefault="00091F0A">
      <w:pPr>
        <w:tabs>
          <w:tab w:val="left" w:pos="360"/>
        </w:tabs>
        <w:ind w:right="-55"/>
        <w:jc w:val="both"/>
        <w:rPr>
          <w:sz w:val="18"/>
          <w:szCs w:val="18"/>
          <w:vertAlign w:val="superscript"/>
        </w:rPr>
      </w:pPr>
      <w:r>
        <w:rPr>
          <w:sz w:val="18"/>
          <w:szCs w:val="18"/>
          <w:vertAlign w:val="superscript"/>
        </w:rPr>
        <w:t xml:space="preserve">(подпись должностного лица </w:t>
      </w:r>
      <w:proofErr w:type="gramStart"/>
      <w:r>
        <w:rPr>
          <w:sz w:val="18"/>
          <w:szCs w:val="18"/>
          <w:vertAlign w:val="superscript"/>
        </w:rPr>
        <w:t>оператора)</w:t>
      </w:r>
      <w:r>
        <w:rPr>
          <w:sz w:val="18"/>
          <w:szCs w:val="18"/>
          <w:vertAlign w:val="superscript"/>
        </w:rPr>
        <w:tab/>
      </w:r>
      <w:proofErr w:type="gramEnd"/>
      <w:r>
        <w:rPr>
          <w:sz w:val="18"/>
          <w:szCs w:val="18"/>
          <w:vertAlign w:val="superscript"/>
        </w:rPr>
        <w:tab/>
      </w:r>
      <w:r>
        <w:rPr>
          <w:sz w:val="24"/>
          <w:szCs w:val="24"/>
          <w:vertAlign w:val="superscript"/>
        </w:rPr>
        <w:t>м.п.</w:t>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t xml:space="preserve">     (подпись абонента)</w:t>
      </w:r>
    </w:p>
    <w:p w:rsidR="00091F0A" w:rsidRDefault="00091F0A">
      <w:pPr>
        <w:pageBreakBefore/>
        <w:tabs>
          <w:tab w:val="left" w:pos="360"/>
        </w:tabs>
        <w:ind w:right="-55"/>
        <w:rPr>
          <w:b/>
          <w:sz w:val="14"/>
          <w:szCs w:val="14"/>
        </w:rPr>
      </w:pPr>
      <w:r>
        <w:rPr>
          <w:b/>
          <w:sz w:val="14"/>
          <w:szCs w:val="14"/>
        </w:rPr>
        <w:lastRenderedPageBreak/>
        <w:t xml:space="preserve"> Выписка из публичной оферты об оказании услуг Сети Передачи Данных,</w:t>
      </w:r>
    </w:p>
    <w:p w:rsidR="00091F0A" w:rsidRDefault="00091F0A">
      <w:pPr>
        <w:tabs>
          <w:tab w:val="left" w:pos="360"/>
        </w:tabs>
        <w:ind w:right="-55"/>
        <w:jc w:val="both"/>
        <w:rPr>
          <w:b/>
          <w:sz w:val="14"/>
          <w:szCs w:val="14"/>
        </w:rPr>
      </w:pPr>
      <w:r>
        <w:rPr>
          <w:b/>
          <w:sz w:val="14"/>
          <w:szCs w:val="14"/>
        </w:rPr>
        <w:t>утвержденной приказом директора ООО «</w:t>
      </w:r>
      <w:proofErr w:type="gramStart"/>
      <w:r>
        <w:rPr>
          <w:b/>
          <w:sz w:val="14"/>
          <w:szCs w:val="14"/>
        </w:rPr>
        <w:t>КТИ»№</w:t>
      </w:r>
      <w:proofErr w:type="gramEnd"/>
      <w:r>
        <w:rPr>
          <w:b/>
          <w:sz w:val="14"/>
          <w:szCs w:val="14"/>
        </w:rPr>
        <w:t xml:space="preserve">10 от 19.10.2009 г., </w:t>
      </w:r>
    </w:p>
    <w:p w:rsidR="00091F0A" w:rsidRDefault="00091F0A">
      <w:pPr>
        <w:tabs>
          <w:tab w:val="left" w:pos="360"/>
        </w:tabs>
        <w:ind w:right="-55"/>
        <w:jc w:val="both"/>
        <w:rPr>
          <w:b/>
          <w:sz w:val="14"/>
          <w:szCs w:val="14"/>
        </w:rPr>
      </w:pPr>
      <w:r>
        <w:rPr>
          <w:b/>
          <w:sz w:val="14"/>
          <w:szCs w:val="14"/>
        </w:rPr>
        <w:t>опубликованной в газете «Советское Приангарье» от 01.11.2009г. №№200-203(10475-10478) (в ред. От 01.09.2012 г.)</w:t>
      </w:r>
    </w:p>
    <w:p w:rsidR="00091F0A" w:rsidRDefault="00091F0A">
      <w:pPr>
        <w:tabs>
          <w:tab w:val="left" w:pos="360"/>
        </w:tabs>
        <w:ind w:right="-55"/>
        <w:jc w:val="both"/>
        <w:rPr>
          <w:sz w:val="14"/>
          <w:szCs w:val="14"/>
        </w:rPr>
      </w:pPr>
      <w:r>
        <w:rPr>
          <w:sz w:val="14"/>
          <w:szCs w:val="14"/>
        </w:rPr>
        <w:t>1.1. Настоящая Публичная оферта разработана на основании Федерального закона РФ «О связи» (№ 126-ФЗ от 07.07.2003 г.) и регулирует отношения между Абонентом и Оператором связи.</w:t>
      </w:r>
    </w:p>
    <w:p w:rsidR="00091F0A" w:rsidRDefault="00091F0A">
      <w:pPr>
        <w:jc w:val="both"/>
        <w:rPr>
          <w:sz w:val="14"/>
          <w:szCs w:val="14"/>
        </w:rPr>
      </w:pPr>
      <w:r>
        <w:rPr>
          <w:sz w:val="14"/>
          <w:szCs w:val="14"/>
        </w:rPr>
        <w:t>1.3. Передача данных гарантируется только в пределах внутренней сети. Оператор не несет ответственности за качество связи с ресурсами внешних сетей передачи данных и за кратковременные задержки, прерывания и изменения скорости связи, возникающие из-за динамических изменений параметров на сетях общего пользования, внешних каналах, сетях и серверах сети Интернет.</w:t>
      </w:r>
    </w:p>
    <w:p w:rsidR="00091F0A" w:rsidRDefault="00091F0A">
      <w:pPr>
        <w:jc w:val="both"/>
        <w:rPr>
          <w:sz w:val="14"/>
          <w:szCs w:val="14"/>
        </w:rPr>
      </w:pPr>
      <w:r>
        <w:rPr>
          <w:sz w:val="14"/>
          <w:szCs w:val="14"/>
        </w:rPr>
        <w:t>2.1. Услуга предоставляется Абонентам в соответствии с техническими возможностями Оператора.</w:t>
      </w:r>
    </w:p>
    <w:p w:rsidR="00091F0A" w:rsidRDefault="00091F0A">
      <w:pPr>
        <w:jc w:val="both"/>
        <w:rPr>
          <w:sz w:val="14"/>
          <w:szCs w:val="14"/>
        </w:rPr>
      </w:pPr>
      <w:r>
        <w:rPr>
          <w:sz w:val="14"/>
          <w:szCs w:val="14"/>
        </w:rPr>
        <w:t>2.2.1. Соглашение является публичным и заключается в письменной форме.</w:t>
      </w:r>
    </w:p>
    <w:p w:rsidR="00091F0A" w:rsidRDefault="00091F0A">
      <w:pPr>
        <w:jc w:val="both"/>
        <w:rPr>
          <w:sz w:val="14"/>
          <w:szCs w:val="14"/>
        </w:rPr>
      </w:pPr>
      <w:r>
        <w:rPr>
          <w:sz w:val="14"/>
          <w:szCs w:val="14"/>
        </w:rPr>
        <w:t>2.3. Соглашение предлагается для заключения путем выставления Оператором Публичной Оферты и считается заключенным в момент её Акцепта Абонентом.</w:t>
      </w:r>
    </w:p>
    <w:p w:rsidR="00091F0A" w:rsidRDefault="00091F0A">
      <w:pPr>
        <w:jc w:val="both"/>
        <w:rPr>
          <w:sz w:val="14"/>
          <w:szCs w:val="14"/>
        </w:rPr>
      </w:pPr>
      <w:r>
        <w:rPr>
          <w:sz w:val="14"/>
          <w:szCs w:val="14"/>
        </w:rPr>
        <w:t>2.4. Полным и безоговорочным акцептом настоящей Публичной оферты является:</w:t>
      </w:r>
    </w:p>
    <w:p w:rsidR="00091F0A" w:rsidRDefault="00091F0A">
      <w:pPr>
        <w:jc w:val="both"/>
        <w:rPr>
          <w:sz w:val="14"/>
          <w:szCs w:val="14"/>
        </w:rPr>
      </w:pPr>
      <w:r>
        <w:rPr>
          <w:sz w:val="14"/>
          <w:szCs w:val="14"/>
        </w:rPr>
        <w:t>- для абонента – физического и юридического лица, заключаемых договор или соглашение в письменной форме – подписание договора или соглашения и осуществление первой оплаты предложенных Оператором услуг в порядке, определенном в разделе 6 настоящей Публичной оферты (ст. 438 ГК РФ).</w:t>
      </w:r>
    </w:p>
    <w:p w:rsidR="00091F0A" w:rsidRDefault="00091F0A">
      <w:pPr>
        <w:jc w:val="both"/>
        <w:rPr>
          <w:sz w:val="14"/>
          <w:szCs w:val="14"/>
        </w:rPr>
      </w:pPr>
      <w:r>
        <w:rPr>
          <w:sz w:val="14"/>
          <w:szCs w:val="14"/>
        </w:rPr>
        <w:t>2.7. Оператор имеет право не заключать договор или соглашение (ограничить доступ к услуге) в случае неисполнения Абонентом обязанностей, предусмотренных в Разделе 4 Публичной оферты.</w:t>
      </w:r>
    </w:p>
    <w:p w:rsidR="00091F0A" w:rsidRDefault="00091F0A">
      <w:pPr>
        <w:jc w:val="both"/>
        <w:rPr>
          <w:sz w:val="14"/>
          <w:szCs w:val="14"/>
        </w:rPr>
      </w:pPr>
      <w:r>
        <w:rPr>
          <w:sz w:val="14"/>
          <w:szCs w:val="14"/>
        </w:rPr>
        <w:t>2.8. Срок действия настоящей Публичной оферты устанавливается на весь период действия лицензии на предоставление Оператором услуг, если иное не указано в договоре или соглашении.</w:t>
      </w:r>
    </w:p>
    <w:p w:rsidR="00091F0A" w:rsidRDefault="00091F0A">
      <w:pPr>
        <w:jc w:val="both"/>
        <w:rPr>
          <w:sz w:val="14"/>
          <w:szCs w:val="14"/>
        </w:rPr>
      </w:pPr>
      <w:r>
        <w:rPr>
          <w:sz w:val="14"/>
          <w:szCs w:val="14"/>
        </w:rPr>
        <w:t>2.9. По письменному заявлению Абонента Оператор обязан без расторжения договора или соглашения приостановить оказание Абоненту услуг на срок не более шести месяцев. При этом с Абонента взимается плата за весь период, указанный в заявлении, в соответствии с установленным для таких случаев тарифом.</w:t>
      </w:r>
    </w:p>
    <w:p w:rsidR="00091F0A" w:rsidRDefault="00091F0A">
      <w:pPr>
        <w:jc w:val="both"/>
        <w:rPr>
          <w:sz w:val="14"/>
          <w:szCs w:val="14"/>
        </w:rPr>
      </w:pPr>
      <w:r>
        <w:rPr>
          <w:sz w:val="14"/>
          <w:szCs w:val="14"/>
        </w:rPr>
        <w:t>Обратное включение абонентского устройства производится по тарифу снятия ограничения на основании письменного заявления Абонента. При отсутствии заявления на снятие ограничения договор или соглашение с Абонентом расторгается. Окончание срока бронирования отслеживается автоматически, либо с помощью Оператора.</w:t>
      </w:r>
    </w:p>
    <w:p w:rsidR="00091F0A" w:rsidRDefault="00091F0A">
      <w:pPr>
        <w:jc w:val="both"/>
        <w:rPr>
          <w:sz w:val="14"/>
          <w:szCs w:val="14"/>
        </w:rPr>
      </w:pPr>
      <w:r>
        <w:rPr>
          <w:sz w:val="14"/>
          <w:szCs w:val="14"/>
        </w:rPr>
        <w:t xml:space="preserve">2.10. В случае нарушения Абонентом связанных с оказанием услуг требований, установленных Федеральным законом "О связи", Правилами оказания услуг связи по передаче данных и настоящей Публичной офертой, в том числе нарушения сроков оплаты оказанных услуг, Оператор приостанавливает оказание услуг до устранения нарушения, уведомив об этом Абонента. </w:t>
      </w:r>
    </w:p>
    <w:p w:rsidR="00091F0A" w:rsidRDefault="00091F0A">
      <w:pPr>
        <w:jc w:val="both"/>
        <w:rPr>
          <w:sz w:val="14"/>
          <w:szCs w:val="14"/>
        </w:rPr>
      </w:pPr>
      <w:r>
        <w:rPr>
          <w:sz w:val="14"/>
          <w:szCs w:val="14"/>
        </w:rPr>
        <w:t xml:space="preserve">В случае </w:t>
      </w:r>
      <w:proofErr w:type="spellStart"/>
      <w:r>
        <w:rPr>
          <w:sz w:val="14"/>
          <w:szCs w:val="14"/>
        </w:rPr>
        <w:t>неустранения</w:t>
      </w:r>
      <w:proofErr w:type="spellEnd"/>
      <w:r>
        <w:rPr>
          <w:sz w:val="14"/>
          <w:szCs w:val="14"/>
        </w:rPr>
        <w:t xml:space="preserve"> такого нарушения в течение 6 месяцев с даты получения Абонентом от Оператора связи уведомления (письменные уведомления Абоненту направляются на персональную страницу Абонента </w:t>
      </w:r>
      <w:r>
        <w:rPr>
          <w:color w:val="000000"/>
          <w:sz w:val="14"/>
          <w:szCs w:val="14"/>
        </w:rPr>
        <w:t>(</w:t>
      </w:r>
      <w:hyperlink r:id="rId5" w:history="1">
        <w:r w:rsidR="00B57913" w:rsidRPr="006A3556">
          <w:rPr>
            <w:rStyle w:val="a3"/>
            <w:sz w:val="14"/>
            <w:szCs w:val="14"/>
            <w:lang w:val="en-US"/>
          </w:rPr>
          <w:t>http</w:t>
        </w:r>
        <w:r w:rsidR="00B57913" w:rsidRPr="006A3556">
          <w:rPr>
            <w:rStyle w:val="a3"/>
            <w:sz w:val="14"/>
            <w:szCs w:val="14"/>
          </w:rPr>
          <w:t>://</w:t>
        </w:r>
        <w:proofErr w:type="spellStart"/>
        <w:r w:rsidR="00B57913" w:rsidRPr="006A3556">
          <w:rPr>
            <w:rStyle w:val="a3"/>
            <w:sz w:val="14"/>
            <w:szCs w:val="14"/>
            <w:lang w:val="en-US"/>
          </w:rPr>
          <w:t>kodinsk</w:t>
        </w:r>
        <w:proofErr w:type="spellEnd"/>
        <w:r w:rsidR="00B57913" w:rsidRPr="00B57913">
          <w:rPr>
            <w:rStyle w:val="a3"/>
            <w:sz w:val="14"/>
            <w:szCs w:val="14"/>
          </w:rPr>
          <w:t>.</w:t>
        </w:r>
        <w:r w:rsidR="00B57913" w:rsidRPr="006A3556">
          <w:rPr>
            <w:rStyle w:val="a3"/>
            <w:sz w:val="14"/>
            <w:szCs w:val="14"/>
            <w:lang w:val="en-US"/>
          </w:rPr>
          <w:t>net</w:t>
        </w:r>
        <w:r w:rsidR="00B57913" w:rsidRPr="006A3556">
          <w:rPr>
            <w:rStyle w:val="a3"/>
            <w:sz w:val="14"/>
            <w:szCs w:val="14"/>
          </w:rPr>
          <w:t>)</w:t>
        </w:r>
      </w:hyperlink>
      <w:r>
        <w:rPr>
          <w:color w:val="000000"/>
          <w:sz w:val="14"/>
          <w:szCs w:val="14"/>
        </w:rPr>
        <w:t>)</w:t>
      </w:r>
      <w:r>
        <w:rPr>
          <w:sz w:val="14"/>
          <w:szCs w:val="14"/>
        </w:rPr>
        <w:t xml:space="preserve"> Оператор в одностороннем порядке расторгает договор или соглашение.</w:t>
      </w:r>
    </w:p>
    <w:p w:rsidR="00091F0A" w:rsidRDefault="00091F0A">
      <w:pPr>
        <w:jc w:val="both"/>
        <w:rPr>
          <w:sz w:val="14"/>
          <w:szCs w:val="14"/>
        </w:rPr>
      </w:pPr>
      <w:r>
        <w:rPr>
          <w:sz w:val="14"/>
          <w:szCs w:val="14"/>
        </w:rPr>
        <w:t>3.1. Оператор обязан:</w:t>
      </w:r>
    </w:p>
    <w:p w:rsidR="00091F0A" w:rsidRDefault="00091F0A">
      <w:pPr>
        <w:shd w:val="clear" w:color="auto" w:fill="FFFFFF"/>
        <w:jc w:val="both"/>
        <w:rPr>
          <w:color w:val="000000"/>
          <w:sz w:val="14"/>
          <w:szCs w:val="14"/>
        </w:rPr>
      </w:pPr>
      <w:r>
        <w:rPr>
          <w:color w:val="000000"/>
          <w:sz w:val="14"/>
          <w:szCs w:val="14"/>
        </w:rPr>
        <w:t>- обеспечивать предоставление услуг 24 часа в сутки, ежедневно, без перерывов, за исключением случаев, предусмотренных настоящей Публичной офертой, и случае проведения необходимых профилактических и ремонтных работ, которые будут планироваться на время, когда это может нанести наименьший ущерб Абоненту. О проведении таких работ Абонент будет уведомлен за 24 (двадцать четыре) часа с указанием их продолжительности, за исключением случаев аварийных ситуаций (не по вине Оператора), когда предоставление услуг может прерываться в любое время суток без предупреждения.</w:t>
      </w:r>
    </w:p>
    <w:p w:rsidR="00091F0A" w:rsidRDefault="00091F0A">
      <w:pPr>
        <w:shd w:val="clear" w:color="auto" w:fill="FFFFFF"/>
        <w:jc w:val="both"/>
        <w:rPr>
          <w:color w:val="000000"/>
          <w:sz w:val="14"/>
          <w:szCs w:val="14"/>
        </w:rPr>
      </w:pPr>
      <w:r>
        <w:rPr>
          <w:color w:val="000000"/>
          <w:sz w:val="14"/>
          <w:szCs w:val="14"/>
        </w:rPr>
        <w:t>- в случае перерыва в предоставлении услуг (если перерыв по вине Оператора имел место): зарегистрировать факт в Журнале регистрации перерывов в предоставлении услуг в течение 30 (тридцати) минут с момента возникновения перерыва, устранить причину перерыва и возобновить предоставление услуг в течение двух рабочих дней.</w:t>
      </w:r>
    </w:p>
    <w:p w:rsidR="00091F0A" w:rsidRDefault="00091F0A">
      <w:pPr>
        <w:jc w:val="both"/>
        <w:rPr>
          <w:sz w:val="14"/>
          <w:szCs w:val="14"/>
        </w:rPr>
      </w:pPr>
      <w:r>
        <w:rPr>
          <w:sz w:val="14"/>
          <w:szCs w:val="14"/>
        </w:rPr>
        <w:t>3.3. Оператор имеет право изменять, по своему усмотрению, перечень и порядок предоставления бесплатных дополнительных сервисов без извещения Абонентов.</w:t>
      </w:r>
    </w:p>
    <w:p w:rsidR="00091F0A" w:rsidRDefault="00091F0A">
      <w:pPr>
        <w:jc w:val="both"/>
        <w:rPr>
          <w:sz w:val="14"/>
          <w:szCs w:val="14"/>
        </w:rPr>
      </w:pPr>
      <w:r>
        <w:rPr>
          <w:sz w:val="14"/>
          <w:szCs w:val="14"/>
        </w:rPr>
        <w:t>3.5. Оператор освобождается от ответственности за неисполнение или ненадлежащее исполнение обязательств по договору или соглашению,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91F0A" w:rsidRDefault="00091F0A">
      <w:pPr>
        <w:jc w:val="both"/>
        <w:rPr>
          <w:sz w:val="14"/>
          <w:szCs w:val="14"/>
        </w:rPr>
      </w:pPr>
      <w:r>
        <w:rPr>
          <w:sz w:val="14"/>
          <w:szCs w:val="14"/>
        </w:rPr>
        <w:t>4.2. Абонент при пользовании услугой обязан не допускать:</w:t>
      </w:r>
    </w:p>
    <w:p w:rsidR="00091F0A" w:rsidRDefault="00091F0A">
      <w:pPr>
        <w:jc w:val="both"/>
        <w:rPr>
          <w:sz w:val="14"/>
          <w:szCs w:val="14"/>
        </w:rPr>
      </w:pPr>
      <w:r>
        <w:rPr>
          <w:sz w:val="14"/>
          <w:szCs w:val="14"/>
        </w:rPr>
        <w:t xml:space="preserve">- распространения </w:t>
      </w:r>
      <w:proofErr w:type="gramStart"/>
      <w:r>
        <w:rPr>
          <w:sz w:val="14"/>
          <w:szCs w:val="14"/>
        </w:rPr>
        <w:t>информации</w:t>
      </w:r>
      <w:proofErr w:type="gramEnd"/>
      <w:r>
        <w:rPr>
          <w:sz w:val="14"/>
          <w:szCs w:val="14"/>
        </w:rPr>
        <w:t xml:space="preserve"> нарушающей законодательство Российской Федерации, оскорбляющей честь и достоинство граждан, должностных лиц, персонала Оператора;</w:t>
      </w:r>
    </w:p>
    <w:p w:rsidR="00091F0A" w:rsidRDefault="00091F0A">
      <w:pPr>
        <w:jc w:val="both"/>
        <w:rPr>
          <w:sz w:val="14"/>
          <w:szCs w:val="14"/>
        </w:rPr>
      </w:pPr>
      <w:r>
        <w:rPr>
          <w:sz w:val="14"/>
          <w:szCs w:val="14"/>
        </w:rPr>
        <w:t xml:space="preserve">4.3. Абонент обязан своевременно оплачивать предоставленную услугу. </w:t>
      </w:r>
    </w:p>
    <w:p w:rsidR="00091F0A" w:rsidRDefault="00091F0A">
      <w:pPr>
        <w:jc w:val="both"/>
        <w:rPr>
          <w:color w:val="000000"/>
          <w:sz w:val="14"/>
          <w:szCs w:val="14"/>
        </w:rPr>
      </w:pPr>
      <w:r>
        <w:rPr>
          <w:sz w:val="14"/>
          <w:szCs w:val="14"/>
        </w:rPr>
        <w:t>4.4. Абонент – юридическое лицо обязано сообщать Оператору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фирменного наименования (для абонентов – физических лиц - фамилии, имени, отчества и места жительства), и места нахождения</w:t>
      </w:r>
      <w:r>
        <w:rPr>
          <w:color w:val="000000"/>
          <w:sz w:val="14"/>
          <w:szCs w:val="14"/>
        </w:rPr>
        <w:t>.</w:t>
      </w:r>
    </w:p>
    <w:p w:rsidR="00091F0A" w:rsidRDefault="00091F0A">
      <w:pPr>
        <w:jc w:val="both"/>
        <w:rPr>
          <w:sz w:val="14"/>
          <w:szCs w:val="14"/>
        </w:rPr>
      </w:pPr>
      <w:r>
        <w:rPr>
          <w:sz w:val="14"/>
          <w:szCs w:val="14"/>
        </w:rPr>
        <w:t>5.3. Максимальная скорость оказания услуги ограничивается техническими возможностями оборудования Оператора в конкретной точке присоединения. Оператор не несет ответственности за состояние абонентских соединительной линии, не относящейся к Внутренней сети Оператора (их качество и работоспособность).</w:t>
      </w:r>
    </w:p>
    <w:p w:rsidR="00091F0A" w:rsidRDefault="00091F0A">
      <w:pPr>
        <w:jc w:val="both"/>
        <w:rPr>
          <w:sz w:val="14"/>
          <w:szCs w:val="14"/>
        </w:rPr>
      </w:pPr>
      <w:r>
        <w:rPr>
          <w:sz w:val="14"/>
          <w:szCs w:val="14"/>
        </w:rPr>
        <w:t>5.4. Оператор имеет право изменять график работы, параметры соединения, и перечень услуг, опубликовав информацию об этом на официальном web-сайте Оператора, или в средствах массовой информации.</w:t>
      </w:r>
    </w:p>
    <w:p w:rsidR="00091F0A" w:rsidRDefault="00091F0A">
      <w:pPr>
        <w:jc w:val="both"/>
        <w:rPr>
          <w:sz w:val="14"/>
          <w:szCs w:val="14"/>
        </w:rPr>
      </w:pPr>
      <w:r>
        <w:rPr>
          <w:sz w:val="14"/>
          <w:szCs w:val="14"/>
        </w:rPr>
        <w:t>5.5. Абонент принимает на себя полную ответственность и риски, связанные с использованием сети Интернет посредством услуг, в том числе ответственность за оценку точности, полноты и полезности любых мнений, идей, иной информации, а также качества и свойств товаров и услуг, распространяемых в Интернет и предоставляемых Абоненту посредством услуг.</w:t>
      </w:r>
    </w:p>
    <w:p w:rsidR="00091F0A" w:rsidRDefault="00091F0A">
      <w:pPr>
        <w:jc w:val="both"/>
        <w:rPr>
          <w:sz w:val="14"/>
          <w:szCs w:val="14"/>
        </w:rPr>
      </w:pPr>
      <w:r>
        <w:rPr>
          <w:sz w:val="14"/>
          <w:szCs w:val="14"/>
        </w:rPr>
        <w:t xml:space="preserve">5.6. Абонент полностью ответственен за сохранность своего пароля и за убытки, которые могут возникнуть по причине несанкционированного его использования. По факту кражи логина и пароля произошедшего по вине третьих лиц Абонент вправе направить в адрес Оператора заявление о смене логина и пароля, с обязательным приложением к заявлению соответствующего финансового документа, подтверждающего оплату услуг. Оператор не несет ответственность за действия третьих </w:t>
      </w:r>
      <w:proofErr w:type="gramStart"/>
      <w:r>
        <w:rPr>
          <w:sz w:val="14"/>
          <w:szCs w:val="14"/>
        </w:rPr>
        <w:t>лиц</w:t>
      </w:r>
      <w:proofErr w:type="gramEnd"/>
      <w:r>
        <w:rPr>
          <w:sz w:val="14"/>
          <w:szCs w:val="14"/>
        </w:rPr>
        <w:t xml:space="preserve"> повлекшие кражу.</w:t>
      </w:r>
    </w:p>
    <w:p w:rsidR="00091F0A" w:rsidRDefault="00091F0A">
      <w:pPr>
        <w:jc w:val="both"/>
        <w:rPr>
          <w:sz w:val="14"/>
          <w:szCs w:val="14"/>
        </w:rPr>
      </w:pPr>
      <w:r>
        <w:rPr>
          <w:sz w:val="14"/>
          <w:szCs w:val="14"/>
        </w:rPr>
        <w:t xml:space="preserve">5.8. В состав услуг не входит настройка или диагностика персонального компьютера, систем связи внешних сетей и программного обеспечения Абонента, а также обучение навыкам работы в сети. </w:t>
      </w:r>
    </w:p>
    <w:p w:rsidR="00091F0A" w:rsidRDefault="00091F0A">
      <w:pPr>
        <w:jc w:val="both"/>
        <w:rPr>
          <w:sz w:val="14"/>
          <w:szCs w:val="14"/>
        </w:rPr>
      </w:pPr>
      <w:r>
        <w:rPr>
          <w:sz w:val="14"/>
          <w:szCs w:val="14"/>
        </w:rPr>
        <w:t>5.9. В случае одностороннего отказа от исполнения настоящего Договора, письменно уведомить об этом Оператора связи не менее чем за 30 календарных дней до отказа от его исполнения, а также оплатить Оператору стоимость оказанных услуг, в размере, предусмотренном Прейскурантом Оператора. Оплата должна быть произведена по дату отказа от исполнения настоящего Договора, указанную в уведомлении, но не менее чем по дату получения Оператором вышеуказанного уведомления</w:t>
      </w:r>
    </w:p>
    <w:p w:rsidR="00091F0A" w:rsidRDefault="00091F0A">
      <w:pPr>
        <w:jc w:val="both"/>
        <w:rPr>
          <w:sz w:val="14"/>
          <w:szCs w:val="14"/>
        </w:rPr>
      </w:pPr>
      <w:r>
        <w:rPr>
          <w:sz w:val="14"/>
          <w:szCs w:val="14"/>
        </w:rPr>
        <w:t xml:space="preserve">6.3. Тарификация услуг - </w:t>
      </w:r>
      <w:proofErr w:type="spellStart"/>
      <w:r>
        <w:rPr>
          <w:sz w:val="14"/>
          <w:szCs w:val="14"/>
        </w:rPr>
        <w:t>помегабайтная</w:t>
      </w:r>
      <w:proofErr w:type="spellEnd"/>
      <w:r>
        <w:rPr>
          <w:sz w:val="14"/>
          <w:szCs w:val="14"/>
        </w:rPr>
        <w:t xml:space="preserve"> (неполный мегабайт считается полным (1 </w:t>
      </w:r>
      <w:proofErr w:type="spellStart"/>
      <w:r>
        <w:rPr>
          <w:sz w:val="14"/>
          <w:szCs w:val="14"/>
        </w:rPr>
        <w:t>МБайт</w:t>
      </w:r>
      <w:proofErr w:type="spellEnd"/>
      <w:r>
        <w:rPr>
          <w:sz w:val="14"/>
          <w:szCs w:val="14"/>
        </w:rPr>
        <w:t xml:space="preserve"> = 1024 Кбайт, 1 </w:t>
      </w:r>
      <w:proofErr w:type="spellStart"/>
      <w:r>
        <w:rPr>
          <w:sz w:val="14"/>
          <w:szCs w:val="14"/>
        </w:rPr>
        <w:t>КБайт</w:t>
      </w:r>
      <w:proofErr w:type="spellEnd"/>
      <w:r>
        <w:rPr>
          <w:sz w:val="14"/>
          <w:szCs w:val="14"/>
        </w:rPr>
        <w:t xml:space="preserve"> = 1024 Байт)), за исключением тарифных планов, предусматривающих абонентскую плату за услуги. Расчетный период равен календарному месяцу, услуга оказывается с 00 ч.00 мин. первого числа месяца до 23 ч.59 мин. (включительно) последнего числа месяца. Оплата абонентской платы за неполный месяц подключения начисляется пропорционально количеству дней предоставления услуги в месяце.</w:t>
      </w:r>
    </w:p>
    <w:p w:rsidR="00091F0A" w:rsidRDefault="00091F0A">
      <w:pPr>
        <w:jc w:val="both"/>
        <w:rPr>
          <w:sz w:val="14"/>
          <w:szCs w:val="14"/>
        </w:rPr>
      </w:pPr>
      <w:r>
        <w:rPr>
          <w:sz w:val="14"/>
          <w:szCs w:val="14"/>
        </w:rPr>
        <w:t>6.4. Абонентская плата за следующий полный календарный месяц по тарифицируемым тарифам снимается с лицевого счета Абонента первого числа каждого месяца. За месяц, в котором производится подключение новых услуг, предоставляемых Абоненту Оператором, абонентская плата взимается пропорционально количеству оставшихся до конца календарного месяца дней.</w:t>
      </w:r>
    </w:p>
    <w:p w:rsidR="00091F0A" w:rsidRDefault="00091F0A">
      <w:pPr>
        <w:jc w:val="both"/>
        <w:rPr>
          <w:sz w:val="14"/>
          <w:szCs w:val="14"/>
        </w:rPr>
      </w:pPr>
      <w:r>
        <w:rPr>
          <w:sz w:val="14"/>
          <w:szCs w:val="14"/>
        </w:rPr>
        <w:t>6.5. Если баланс Лицевого счета недостаточен для оплаты Услуг, Оператор списывает средства в размере абонентской платы, предусмотренной договором, и приостанавливает оказание всех услуг до момента погашения задолженности, но не более 6 месяцев.</w:t>
      </w:r>
    </w:p>
    <w:p w:rsidR="00091F0A" w:rsidRDefault="00091F0A">
      <w:pPr>
        <w:jc w:val="both"/>
        <w:rPr>
          <w:sz w:val="14"/>
          <w:szCs w:val="14"/>
        </w:rPr>
      </w:pPr>
      <w:r>
        <w:rPr>
          <w:sz w:val="14"/>
          <w:szCs w:val="14"/>
        </w:rPr>
        <w:t>6.6. Основанием для Тарификации являются данные аппаратуры учета Оператора.</w:t>
      </w:r>
    </w:p>
    <w:p w:rsidR="00091F0A" w:rsidRDefault="00091F0A">
      <w:pPr>
        <w:jc w:val="both"/>
        <w:rPr>
          <w:sz w:val="14"/>
          <w:szCs w:val="14"/>
        </w:rPr>
      </w:pPr>
      <w:r>
        <w:rPr>
          <w:sz w:val="14"/>
          <w:szCs w:val="14"/>
        </w:rPr>
        <w:t xml:space="preserve">6.7. </w:t>
      </w:r>
      <w:r>
        <w:rPr>
          <w:color w:val="000000"/>
          <w:sz w:val="14"/>
          <w:szCs w:val="14"/>
        </w:rPr>
        <w:t>Оказание Услуг, предоставляемых Абоненту, осуществляется посредством авансового платежа.</w:t>
      </w:r>
      <w:r>
        <w:rPr>
          <w:sz w:val="14"/>
          <w:szCs w:val="14"/>
        </w:rPr>
        <w:t xml:space="preserve"> Оплата оказанных Услуг производится в рублях Российской Федерации.</w:t>
      </w:r>
    </w:p>
    <w:p w:rsidR="00091F0A" w:rsidRDefault="00091F0A">
      <w:pPr>
        <w:jc w:val="both"/>
        <w:rPr>
          <w:sz w:val="14"/>
          <w:szCs w:val="14"/>
        </w:rPr>
      </w:pPr>
      <w:r>
        <w:rPr>
          <w:sz w:val="14"/>
          <w:szCs w:val="14"/>
        </w:rPr>
        <w:t>6.8.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w:t>
      </w:r>
    </w:p>
    <w:p w:rsidR="00091F0A" w:rsidRDefault="00091F0A">
      <w:pPr>
        <w:jc w:val="both"/>
        <w:rPr>
          <w:sz w:val="14"/>
          <w:szCs w:val="14"/>
        </w:rPr>
      </w:pPr>
      <w:r>
        <w:rPr>
          <w:sz w:val="14"/>
          <w:szCs w:val="14"/>
        </w:rPr>
        <w:t>6.10 В случае неоплаты, неполной или несвоевременной оплаты Услуг, Абонент уплачивает Оператору неустойку в размере 1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091F0A" w:rsidRDefault="00091F0A">
      <w:pPr>
        <w:jc w:val="both"/>
        <w:rPr>
          <w:sz w:val="14"/>
          <w:szCs w:val="14"/>
        </w:rPr>
      </w:pPr>
      <w:r>
        <w:rPr>
          <w:sz w:val="14"/>
          <w:szCs w:val="14"/>
        </w:rPr>
        <w:t>7.1. Претензии Абонента по предоставляемым услугам принимаются Оператором к рассмотрению только в письменном виде в течение 6 месяцев со дня оказания услуг. Претензия рассматривается Оператором в срок не более 60 дней от даты регистрации претензии.</w:t>
      </w:r>
    </w:p>
    <w:p w:rsidR="00091F0A" w:rsidRDefault="00091F0A">
      <w:pPr>
        <w:jc w:val="both"/>
        <w:rPr>
          <w:sz w:val="14"/>
          <w:szCs w:val="14"/>
        </w:rPr>
      </w:pPr>
      <w:r>
        <w:rPr>
          <w:sz w:val="14"/>
          <w:szCs w:val="14"/>
        </w:rPr>
        <w:t>7.7. Для решения технических вопросов при определении ответственности Абонента, в результате его неправомерных действий, при пользовании сетью Интернет, Оператор вправе самостоятельно привлекать компетентные организации в качестве экспертов.</w:t>
      </w:r>
    </w:p>
    <w:p w:rsidR="00091F0A" w:rsidRDefault="00091F0A">
      <w:pPr>
        <w:jc w:val="both"/>
        <w:rPr>
          <w:b/>
          <w:sz w:val="14"/>
          <w:szCs w:val="14"/>
        </w:rPr>
      </w:pPr>
      <w:r>
        <w:rPr>
          <w:b/>
          <w:sz w:val="14"/>
          <w:szCs w:val="14"/>
        </w:rPr>
        <w:t>8. Рекомендации Абоненту по сетевой безопасности:</w:t>
      </w:r>
    </w:p>
    <w:p w:rsidR="00091F0A" w:rsidRDefault="00091F0A">
      <w:pPr>
        <w:jc w:val="both"/>
        <w:rPr>
          <w:sz w:val="14"/>
          <w:szCs w:val="14"/>
        </w:rPr>
      </w:pPr>
      <w:r>
        <w:rPr>
          <w:sz w:val="14"/>
          <w:szCs w:val="14"/>
        </w:rPr>
        <w:t xml:space="preserve">- не запускать программы (файлы), полученные от неизвестного Вам отправителя; </w:t>
      </w:r>
    </w:p>
    <w:p w:rsidR="00091F0A" w:rsidRDefault="00091F0A">
      <w:pPr>
        <w:jc w:val="both"/>
        <w:rPr>
          <w:sz w:val="14"/>
          <w:szCs w:val="14"/>
        </w:rPr>
      </w:pPr>
      <w:r>
        <w:rPr>
          <w:sz w:val="14"/>
          <w:szCs w:val="14"/>
        </w:rPr>
        <w:t xml:space="preserve">- при посещении сайтов не принимать никаких соглашений, смысла которых Вы не понимаете; </w:t>
      </w:r>
    </w:p>
    <w:p w:rsidR="00091F0A" w:rsidRDefault="00091F0A">
      <w:pPr>
        <w:jc w:val="both"/>
        <w:rPr>
          <w:sz w:val="14"/>
          <w:szCs w:val="14"/>
        </w:rPr>
      </w:pPr>
      <w:r>
        <w:rPr>
          <w:sz w:val="14"/>
          <w:szCs w:val="14"/>
        </w:rPr>
        <w:t xml:space="preserve">- вести постоянный учет всех своих сеансов работы в сети Интернет. </w:t>
      </w:r>
    </w:p>
    <w:p w:rsidR="00091F0A" w:rsidRDefault="00091F0A">
      <w:pPr>
        <w:jc w:val="both"/>
        <w:rPr>
          <w:sz w:val="14"/>
          <w:szCs w:val="14"/>
        </w:rPr>
      </w:pPr>
      <w:r>
        <w:rPr>
          <w:sz w:val="14"/>
          <w:szCs w:val="14"/>
        </w:rPr>
        <w:t>- при работе в сети использо</w:t>
      </w:r>
      <w:bookmarkStart w:id="0" w:name="_GoBack"/>
      <w:bookmarkEnd w:id="0"/>
      <w:r>
        <w:rPr>
          <w:sz w:val="14"/>
          <w:szCs w:val="14"/>
        </w:rPr>
        <w:t>вать антивирусное программное обеспечение.</w:t>
      </w:r>
    </w:p>
    <w:p w:rsidR="00091F0A" w:rsidRDefault="00091F0A">
      <w:pPr>
        <w:jc w:val="both"/>
        <w:rPr>
          <w:color w:val="000000"/>
          <w:spacing w:val="-4"/>
          <w:sz w:val="14"/>
          <w:szCs w:val="14"/>
        </w:rPr>
      </w:pPr>
      <w:r>
        <w:rPr>
          <w:color w:val="000000"/>
          <w:spacing w:val="-2"/>
          <w:sz w:val="14"/>
          <w:szCs w:val="14"/>
        </w:rPr>
        <w:t xml:space="preserve">9.1. Услуги предоставляются </w:t>
      </w:r>
      <w:r>
        <w:rPr>
          <w:color w:val="000000"/>
          <w:sz w:val="14"/>
          <w:szCs w:val="14"/>
        </w:rPr>
        <w:t>Оператором</w:t>
      </w:r>
      <w:r>
        <w:rPr>
          <w:color w:val="000000"/>
          <w:spacing w:val="-2"/>
          <w:sz w:val="14"/>
          <w:szCs w:val="14"/>
        </w:rPr>
        <w:t xml:space="preserve"> Абоненту на основании настоящей Публичной оферты, договора или соглашения </w:t>
      </w:r>
      <w:r>
        <w:rPr>
          <w:color w:val="000000"/>
          <w:spacing w:val="-4"/>
          <w:sz w:val="14"/>
          <w:szCs w:val="14"/>
        </w:rPr>
        <w:t>и Регистрационной карты Абонента.</w:t>
      </w:r>
    </w:p>
    <w:p w:rsidR="00091F0A" w:rsidRDefault="00091F0A">
      <w:pPr>
        <w:jc w:val="both"/>
        <w:rPr>
          <w:color w:val="000000"/>
          <w:spacing w:val="-4"/>
          <w:sz w:val="14"/>
          <w:szCs w:val="14"/>
        </w:rPr>
      </w:pPr>
      <w:r>
        <w:rPr>
          <w:color w:val="000000"/>
          <w:spacing w:val="-4"/>
          <w:sz w:val="14"/>
          <w:szCs w:val="14"/>
        </w:rPr>
        <w:t xml:space="preserve">9.2. </w:t>
      </w:r>
      <w:proofErr w:type="gramStart"/>
      <w:r>
        <w:rPr>
          <w:color w:val="000000"/>
          <w:spacing w:val="-4"/>
          <w:sz w:val="14"/>
          <w:szCs w:val="14"/>
        </w:rPr>
        <w:t>Договор или соглашение</w:t>
      </w:r>
      <w:proofErr w:type="gramEnd"/>
      <w:r>
        <w:rPr>
          <w:color w:val="000000"/>
          <w:spacing w:val="-4"/>
          <w:sz w:val="14"/>
          <w:szCs w:val="14"/>
        </w:rPr>
        <w:t xml:space="preserve"> и Регистрационная карта оформляются в абонентском отделе ООО «КТИ».</w:t>
      </w:r>
    </w:p>
    <w:p w:rsidR="00091F0A" w:rsidRDefault="00091F0A">
      <w:pPr>
        <w:tabs>
          <w:tab w:val="left" w:pos="360"/>
          <w:tab w:val="left" w:pos="2520"/>
        </w:tabs>
        <w:jc w:val="both"/>
        <w:rPr>
          <w:bCs/>
          <w:sz w:val="14"/>
          <w:szCs w:val="14"/>
        </w:rPr>
      </w:pPr>
      <w:r>
        <w:rPr>
          <w:sz w:val="14"/>
          <w:szCs w:val="14"/>
        </w:rPr>
        <w:t xml:space="preserve">9.4. </w:t>
      </w:r>
      <w:r>
        <w:rPr>
          <w:bCs/>
          <w:sz w:val="14"/>
          <w:szCs w:val="14"/>
        </w:rPr>
        <w:t xml:space="preserve">Изменения и/или дополнения в настоящий договор вносятся в одностороннем порядке по решению Оператора связи. </w:t>
      </w:r>
    </w:p>
    <w:p w:rsidR="00091F0A" w:rsidRPr="00FB0737" w:rsidRDefault="00091F0A">
      <w:pPr>
        <w:jc w:val="both"/>
        <w:rPr>
          <w:bCs/>
          <w:sz w:val="14"/>
          <w:szCs w:val="14"/>
        </w:rPr>
      </w:pPr>
      <w:r>
        <w:rPr>
          <w:bCs/>
          <w:sz w:val="14"/>
          <w:szCs w:val="14"/>
        </w:rPr>
        <w:t xml:space="preserve">Изменения и/или дополнения, вносимые Оператором связи в условия Договора, вступают в силу не ранее чем через десять календарных дней после их утверждения и размещения соответствующей информации на официальном сайте Оператора по следующему адресу: </w:t>
      </w:r>
      <w:hyperlink r:id="rId6" w:history="1">
        <w:r w:rsidR="00FB0737" w:rsidRPr="006A3556">
          <w:rPr>
            <w:rStyle w:val="a3"/>
            <w:bCs/>
            <w:sz w:val="14"/>
            <w:szCs w:val="14"/>
          </w:rPr>
          <w:t>http://</w:t>
        </w:r>
        <w:r w:rsidR="00FB0737" w:rsidRPr="006A3556">
          <w:rPr>
            <w:rStyle w:val="a3"/>
            <w:bCs/>
            <w:sz w:val="14"/>
            <w:szCs w:val="14"/>
            <w:lang w:val="en-US"/>
          </w:rPr>
          <w:t>kodinsk</w:t>
        </w:r>
        <w:r w:rsidR="00FB0737" w:rsidRPr="006A3556">
          <w:rPr>
            <w:rStyle w:val="a3"/>
            <w:bCs/>
            <w:sz w:val="14"/>
            <w:szCs w:val="14"/>
          </w:rPr>
          <w:t>.</w:t>
        </w:r>
        <w:r w:rsidR="00FB0737" w:rsidRPr="006A3556">
          <w:rPr>
            <w:rStyle w:val="a3"/>
            <w:bCs/>
            <w:sz w:val="14"/>
            <w:szCs w:val="14"/>
            <w:lang w:val="en-US"/>
          </w:rPr>
          <w:t>net</w:t>
        </w:r>
      </w:hyperlink>
      <w:r w:rsidR="00FB0737">
        <w:rPr>
          <w:bCs/>
          <w:sz w:val="14"/>
          <w:szCs w:val="14"/>
        </w:rPr>
        <w:t xml:space="preserve">. </w:t>
      </w:r>
    </w:p>
    <w:p w:rsidR="00091F0A" w:rsidRDefault="00091F0A">
      <w:pPr>
        <w:jc w:val="both"/>
        <w:rPr>
          <w:color w:val="000000"/>
          <w:spacing w:val="-4"/>
          <w:sz w:val="14"/>
          <w:szCs w:val="14"/>
        </w:rPr>
      </w:pPr>
    </w:p>
    <w:sectPr w:rsidR="00091F0A" w:rsidSect="00436BAE">
      <w:pgSz w:w="11905" w:h="16837"/>
      <w:pgMar w:top="284" w:right="423" w:bottom="36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Wingdings (L$)">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500"/>
        </w:tabs>
        <w:ind w:left="2500" w:hanging="360"/>
      </w:pPr>
      <w:rPr>
        <w:rFonts w:ascii="Times New Roman" w:hAnsi="Times New Roman" w:cs="Times New Roman"/>
        <w:sz w:val="20"/>
        <w:szCs w:val="20"/>
      </w:r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AE"/>
    <w:rsid w:val="0009173C"/>
    <w:rsid w:val="00091F0A"/>
    <w:rsid w:val="00107AD2"/>
    <w:rsid w:val="00403E0E"/>
    <w:rsid w:val="00436BAE"/>
    <w:rsid w:val="005B1860"/>
    <w:rsid w:val="007D548F"/>
    <w:rsid w:val="0086321C"/>
    <w:rsid w:val="00AF3AA7"/>
    <w:rsid w:val="00B538BF"/>
    <w:rsid w:val="00B57913"/>
    <w:rsid w:val="00C168B5"/>
    <w:rsid w:val="00FB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3B492E8-605F-48D4-9EDB-AAE86579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kern w:val="1"/>
      <w:lang w:eastAsia="ar-SA"/>
    </w:rPr>
  </w:style>
  <w:style w:type="paragraph" w:styleId="3">
    <w:name w:val="heading 3"/>
    <w:basedOn w:val="a"/>
    <w:next w:val="a"/>
    <w:qFormat/>
    <w:pPr>
      <w:keepNext/>
      <w:numPr>
        <w:ilvl w:val="2"/>
        <w:numId w:val="1"/>
      </w:numPr>
      <w:overflowPunct/>
      <w:autoSpaceDE/>
      <w:spacing w:before="240" w:after="60"/>
      <w:textAlignment w:val="auto"/>
      <w:outlineLvl w:val="2"/>
    </w:pPr>
    <w:rPr>
      <w:rFonts w:ascii="Arial" w:hAnsi="Arial" w:cs="Arial"/>
      <w:b/>
      <w:bCs/>
      <w:sz w:val="26"/>
      <w:szCs w:val="26"/>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Times New Roman" w:hAnsi="Times New Roman" w:cs="Times New Roman"/>
      <w:sz w:val="20"/>
      <w:szCs w:val="20"/>
    </w:rPr>
  </w:style>
  <w:style w:type="character" w:customStyle="1" w:styleId="2">
    <w:name w:val="Основной шрифт абзаца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sz w:val="20"/>
      <w:szCs w:val="20"/>
    </w:rPr>
  </w:style>
  <w:style w:type="character" w:customStyle="1" w:styleId="WW8Num5z0">
    <w:name w:val="WW8Num5z0"/>
    <w:rPr>
      <w:sz w:val="20"/>
      <w:szCs w:val="20"/>
    </w:rPr>
  </w:style>
  <w:style w:type="character" w:customStyle="1" w:styleId="WW8Num8z0">
    <w:name w:val="WW8Num8z0"/>
    <w:rPr>
      <w:sz w:val="20"/>
      <w:szCs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7z1">
    <w:name w:val="WW8Num17z1"/>
    <w:rPr>
      <w:rFonts w:ascii="Symbol" w:hAnsi="Symbol"/>
      <w:color w:val="auto"/>
    </w:rPr>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style>
  <w:style w:type="paragraph"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tabs>
        <w:tab w:val="left" w:pos="1800"/>
      </w:tabs>
      <w:overflowPunct/>
      <w:autoSpaceDE/>
      <w:ind w:left="1800" w:right="-766" w:hanging="1800"/>
      <w:textAlignment w:val="auto"/>
    </w:pPr>
    <w:rPr>
      <w:sz w:val="24"/>
    </w:rPr>
  </w:style>
  <w:style w:type="paragraph" w:styleId="a7">
    <w:name w:val="List"/>
    <w:basedOn w:val="a6"/>
    <w:rPr>
      <w:rFonts w:ascii="Arial" w:hAnsi="Arial" w:cs="Tahoma"/>
    </w:rPr>
  </w:style>
  <w:style w:type="paragraph" w:customStyle="1" w:styleId="20">
    <w:name w:val="Название2"/>
    <w:basedOn w:val="a"/>
    <w:pPr>
      <w:suppressLineNumbers/>
      <w:spacing w:before="120" w:after="120"/>
    </w:pPr>
    <w:rPr>
      <w:rFonts w:ascii="Arial" w:hAnsi="Arial" w:cs="Tahoma"/>
      <w:i/>
      <w:iCs/>
      <w:szCs w:val="24"/>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customStyle="1" w:styleId="ConsNonformat">
    <w:name w:val="ConsNonformat"/>
    <w:pPr>
      <w:widowControl w:val="0"/>
      <w:suppressAutoHyphens/>
      <w:autoSpaceDE w:val="0"/>
      <w:ind w:right="19772"/>
    </w:pPr>
    <w:rPr>
      <w:rFonts w:ascii="Courier New" w:eastAsia="Arial" w:hAnsi="Courier New" w:cs="Courier New"/>
      <w:kern w:val="1"/>
      <w:lang w:eastAsia="ar-SA"/>
    </w:rPr>
  </w:style>
  <w:style w:type="paragraph" w:customStyle="1" w:styleId="ConsTitle">
    <w:name w:val="ConsTitle"/>
    <w:pPr>
      <w:suppressAutoHyphens/>
      <w:autoSpaceDE w:val="0"/>
      <w:ind w:right="19772"/>
    </w:pPr>
    <w:rPr>
      <w:rFonts w:ascii="Arial" w:eastAsia="Arial" w:hAnsi="Arial" w:cs="Arial"/>
      <w:b/>
      <w:bCs/>
      <w:kern w:val="1"/>
      <w:lang w:eastAsia="ar-SA"/>
    </w:rPr>
  </w:style>
  <w:style w:type="paragraph" w:customStyle="1" w:styleId="ConsNormal">
    <w:name w:val="ConsNormal"/>
    <w:pPr>
      <w:widowControl w:val="0"/>
      <w:suppressAutoHyphens/>
      <w:autoSpaceDE w:val="0"/>
      <w:ind w:right="19772" w:firstLine="720"/>
    </w:pPr>
    <w:rPr>
      <w:rFonts w:ascii="Arial" w:eastAsia="Arial" w:hAnsi="Arial" w:cs="Arial"/>
      <w:kern w:val="1"/>
      <w:sz w:val="24"/>
      <w:szCs w:val="24"/>
      <w:lang w:eastAsia="ar-SA"/>
    </w:rPr>
  </w:style>
  <w:style w:type="paragraph" w:styleId="a8">
    <w:name w:val="Заголовок"/>
    <w:basedOn w:val="a"/>
    <w:next w:val="a9"/>
    <w:qFormat/>
    <w:pPr>
      <w:overflowPunct/>
      <w:autoSpaceDE/>
      <w:ind w:left="-567" w:right="-766"/>
      <w:jc w:val="center"/>
      <w:textAlignment w:val="auto"/>
    </w:pPr>
    <w:rPr>
      <w:b/>
      <w:sz w:val="36"/>
    </w:rPr>
  </w:style>
  <w:style w:type="paragraph" w:styleId="a9">
    <w:name w:val="Subtitle"/>
    <w:basedOn w:val="a5"/>
    <w:next w:val="a6"/>
    <w:qFormat/>
    <w:pPr>
      <w:jc w:val="center"/>
    </w:pPr>
    <w:rPr>
      <w:i/>
      <w:iCs/>
    </w:rPr>
  </w:style>
  <w:style w:type="paragraph" w:styleId="aa">
    <w:name w:val="Balloon Text"/>
    <w:basedOn w:val="a"/>
    <w:rPr>
      <w:rFonts w:ascii="Tahoma" w:hAnsi="Tahoma" w:cs="Tahoma"/>
      <w:sz w:val="16"/>
      <w:szCs w:val="16"/>
    </w:rPr>
  </w:style>
  <w:style w:type="paragraph" w:styleId="ab">
    <w:name w:val="Body Text Indent"/>
    <w:basedOn w:val="a"/>
    <w:pPr>
      <w:tabs>
        <w:tab w:val="left" w:pos="1800"/>
      </w:tabs>
      <w:overflowPunct/>
      <w:autoSpaceDE/>
      <w:spacing w:after="120"/>
      <w:ind w:left="283" w:hanging="1800"/>
      <w:textAlignment w:val="auto"/>
    </w:pPr>
    <w:rPr>
      <w:sz w:val="24"/>
      <w:szCs w:val="24"/>
    </w:rPr>
  </w:style>
  <w:style w:type="paragraph" w:customStyle="1" w:styleId="12">
    <w:name w:val="Стиль1"/>
    <w:basedOn w:val="a"/>
    <w:pPr>
      <w:tabs>
        <w:tab w:val="left" w:pos="540"/>
        <w:tab w:val="left" w:pos="567"/>
      </w:tabs>
      <w:overflowPunct/>
      <w:autoSpaceDE/>
      <w:spacing w:before="60"/>
      <w:ind w:left="540" w:hanging="540"/>
      <w:jc w:val="center"/>
      <w:textAlignment w:val="auto"/>
    </w:pPr>
    <w:rPr>
      <w:rFonts w:ascii="Arial" w:hAnsi="Arial" w:cs="Arial"/>
      <w:b/>
      <w:sz w:val="18"/>
      <w:szCs w:val="18"/>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ac">
    <w:name w:val="header"/>
    <w:basedOn w:val="a"/>
    <w:pPr>
      <w:tabs>
        <w:tab w:val="center" w:pos="4677"/>
        <w:tab w:val="right" w:pos="9355"/>
      </w:tabs>
      <w:overflowPunct/>
      <w:autoSpaceDE/>
      <w:textAlignment w:val="auto"/>
    </w:pPr>
    <w:rPr>
      <w:sz w:val="24"/>
      <w:szCs w:val="24"/>
    </w:rPr>
  </w:style>
  <w:style w:type="paragraph" w:styleId="ad">
    <w:name w:val="Normal (Web)"/>
    <w:basedOn w:val="a"/>
    <w:pPr>
      <w:overflowPunct/>
      <w:autoSpaceDE/>
      <w:spacing w:before="280" w:after="280"/>
      <w:textAlignment w:val="auto"/>
    </w:pPr>
    <w:rPr>
      <w:sz w:val="24"/>
      <w:szCs w:val="24"/>
    </w:rPr>
  </w:style>
  <w:style w:type="paragraph" w:customStyle="1" w:styleId="Iauiue">
    <w:name w:val="Iau?iue"/>
    <w:pPr>
      <w:suppressAutoHyphens/>
      <w:jc w:val="both"/>
    </w:pPr>
    <w:rPr>
      <w:rFonts w:eastAsia="Arial"/>
      <w:kern w:val="1"/>
      <w:sz w:val="24"/>
      <w:lang w:eastAsia="ar-SA"/>
    </w:rPr>
  </w:style>
  <w:style w:type="paragraph" w:customStyle="1" w:styleId="6">
    <w:name w:val="заголовок 6"/>
    <w:basedOn w:val="a"/>
    <w:next w:val="a"/>
    <w:pPr>
      <w:widowControl w:val="0"/>
      <w:spacing w:before="240" w:after="60"/>
    </w:pPr>
    <w:rPr>
      <w:i/>
      <w:sz w:val="22"/>
    </w:rPr>
  </w:style>
  <w:style w:type="paragraph" w:customStyle="1" w:styleId="30">
    <w:name w:val="заголовок 3"/>
    <w:basedOn w:val="a"/>
    <w:next w:val="a"/>
    <w:pPr>
      <w:keepNext/>
      <w:widowControl w:val="0"/>
      <w:spacing w:before="240" w:after="60"/>
    </w:pPr>
    <w:rPr>
      <w:rFonts w:ascii="Wingdings (L$)" w:hAnsi="Wingdings (L$)"/>
      <w:sz w:val="24"/>
    </w:rPr>
  </w:style>
  <w:style w:type="paragraph" w:customStyle="1" w:styleId="13">
    <w:name w:val="Текст1"/>
    <w:basedOn w:val="a"/>
    <w:pPr>
      <w:overflowPunct/>
      <w:autoSpaceDE/>
      <w:textAlignment w:val="auto"/>
    </w:pPr>
    <w:rPr>
      <w:rFonts w:ascii="Courier New" w:hAnsi="Courier New"/>
      <w:b/>
    </w:rPr>
  </w:style>
  <w:style w:type="paragraph" w:customStyle="1" w:styleId="210">
    <w:name w:val="Основной текст 21"/>
    <w:basedOn w:val="a"/>
    <w:pPr>
      <w:spacing w:after="120" w:line="480" w:lineRule="auto"/>
    </w:pPr>
  </w:style>
  <w:style w:type="paragraph" w:customStyle="1" w:styleId="31">
    <w:name w:val="Основной текст 31"/>
    <w:basedOn w:val="a"/>
    <w:pPr>
      <w:spacing w:after="120"/>
    </w:pPr>
    <w:rPr>
      <w:sz w:val="16"/>
      <w:szCs w:val="16"/>
    </w:r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nsk.net" TargetMode="External"/><Relationship Id="rId5" Type="http://schemas.openxmlformats.org/officeDocument/2006/relationships/hyperlink" Target="http://kodinsk.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ООО КРАСТЕЛЕКОМИНВЕСТ</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КРАСТЕЛЕКОМИНВЕСТ</dc:title>
  <dc:subject/>
  <dc:creator>Атясовы</dc:creator>
  <cp:keywords/>
  <cp:lastModifiedBy>Atyasova</cp:lastModifiedBy>
  <cp:revision>2</cp:revision>
  <cp:lastPrinted>2010-12-22T02:53:00Z</cp:lastPrinted>
  <dcterms:created xsi:type="dcterms:W3CDTF">2022-05-27T05:42:00Z</dcterms:created>
  <dcterms:modified xsi:type="dcterms:W3CDTF">2022-05-27T05:42:00Z</dcterms:modified>
</cp:coreProperties>
</file>